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66" w:rsidRDefault="00DC7666" w:rsidP="00EE775C">
      <w:pPr>
        <w:pStyle w:val="Podtitul"/>
        <w:ind w:right="283"/>
        <w:jc w:val="right"/>
        <w:rPr>
          <w:sz w:val="20"/>
          <w:szCs w:val="20"/>
        </w:rPr>
      </w:pPr>
      <w:bookmarkStart w:id="0" w:name="_Toc401148478"/>
      <w:bookmarkStart w:id="1" w:name="_Toc401842262"/>
    </w:p>
    <w:p w:rsidR="00A523DA" w:rsidRDefault="00A523DA" w:rsidP="00EE775C">
      <w:pPr>
        <w:pStyle w:val="Podtitul"/>
        <w:ind w:right="283"/>
        <w:jc w:val="right"/>
        <w:rPr>
          <w:sz w:val="20"/>
          <w:szCs w:val="20"/>
        </w:rPr>
      </w:pPr>
    </w:p>
    <w:p w:rsidR="00735E5F" w:rsidRDefault="00735E5F" w:rsidP="00EE775C">
      <w:pPr>
        <w:pStyle w:val="Podtitul"/>
        <w:ind w:right="283"/>
        <w:jc w:val="right"/>
        <w:rPr>
          <w:sz w:val="20"/>
          <w:szCs w:val="20"/>
        </w:rPr>
      </w:pPr>
    </w:p>
    <w:p w:rsidR="006D6E0A" w:rsidRDefault="006D6E0A" w:rsidP="00EE775C">
      <w:pPr>
        <w:pStyle w:val="Podtitul"/>
        <w:ind w:right="283"/>
        <w:jc w:val="right"/>
        <w:rPr>
          <w:sz w:val="20"/>
          <w:szCs w:val="20"/>
        </w:rPr>
      </w:pPr>
    </w:p>
    <w:p w:rsidR="001330C8" w:rsidRPr="003C0BAA" w:rsidRDefault="00E10F0A" w:rsidP="00EE775C">
      <w:pPr>
        <w:pStyle w:val="Podtitul"/>
        <w:ind w:right="283"/>
        <w:jc w:val="right"/>
        <w:rPr>
          <w:sz w:val="20"/>
          <w:szCs w:val="20"/>
        </w:rPr>
      </w:pPr>
      <w:r w:rsidRPr="003C0BAA">
        <w:rPr>
          <w:sz w:val="20"/>
          <w:szCs w:val="20"/>
        </w:rPr>
        <w:tab/>
      </w:r>
    </w:p>
    <w:p w:rsidR="002135A0" w:rsidRDefault="002135A0" w:rsidP="002135A0">
      <w:pPr>
        <w:pStyle w:val="Titulnstrana"/>
        <w:jc w:val="both"/>
      </w:pPr>
    </w:p>
    <w:p w:rsidR="002135A0" w:rsidRDefault="002135A0" w:rsidP="002135A0">
      <w:pPr>
        <w:pStyle w:val="Titulnstrana"/>
      </w:pPr>
      <w:r>
        <w:t>Ministerstvo pro místní rozvoj</w:t>
      </w:r>
    </w:p>
    <w:p w:rsidR="002135A0" w:rsidRDefault="002135A0" w:rsidP="002135A0">
      <w:pPr>
        <w:pStyle w:val="Titulnstrana"/>
      </w:pPr>
      <w:r>
        <w:t>Národní orgán pro koordinaci</w:t>
      </w:r>
    </w:p>
    <w:p w:rsidR="002135A0" w:rsidRPr="003C0BAA" w:rsidRDefault="002135A0" w:rsidP="002135A0">
      <w:pPr>
        <w:rPr>
          <w:rFonts w:ascii="Arial" w:hAnsi="Arial" w:cs="Arial"/>
          <w:sz w:val="20"/>
          <w:szCs w:val="20"/>
        </w:rPr>
      </w:pPr>
    </w:p>
    <w:p w:rsidR="002135A0" w:rsidRPr="003C0BAA" w:rsidRDefault="002135A0" w:rsidP="002135A0">
      <w:pPr>
        <w:rPr>
          <w:rFonts w:ascii="Arial" w:hAnsi="Arial" w:cs="Arial"/>
          <w:sz w:val="20"/>
          <w:szCs w:val="20"/>
        </w:rPr>
      </w:pPr>
    </w:p>
    <w:p w:rsidR="002135A0" w:rsidRDefault="002135A0" w:rsidP="002135A0">
      <w:pPr>
        <w:rPr>
          <w:rFonts w:ascii="Arial" w:hAnsi="Arial" w:cs="Arial"/>
          <w:sz w:val="20"/>
          <w:szCs w:val="20"/>
        </w:rPr>
      </w:pPr>
    </w:p>
    <w:p w:rsidR="002135A0" w:rsidRDefault="002135A0" w:rsidP="002135A0">
      <w:pPr>
        <w:rPr>
          <w:rFonts w:ascii="Arial" w:hAnsi="Arial" w:cs="Arial"/>
          <w:sz w:val="20"/>
          <w:szCs w:val="20"/>
        </w:rPr>
      </w:pPr>
    </w:p>
    <w:p w:rsidR="002135A0" w:rsidRDefault="002135A0" w:rsidP="002135A0">
      <w:pPr>
        <w:rPr>
          <w:rFonts w:ascii="Arial" w:hAnsi="Arial" w:cs="Arial"/>
          <w:sz w:val="20"/>
          <w:szCs w:val="20"/>
        </w:rPr>
      </w:pPr>
    </w:p>
    <w:p w:rsidR="002135A0" w:rsidRDefault="002135A0" w:rsidP="002135A0">
      <w:pPr>
        <w:rPr>
          <w:rFonts w:ascii="Arial" w:hAnsi="Arial" w:cs="Arial"/>
          <w:sz w:val="20"/>
          <w:szCs w:val="20"/>
        </w:rPr>
      </w:pPr>
    </w:p>
    <w:p w:rsidR="00851225" w:rsidRDefault="00851225" w:rsidP="00851225">
      <w:pPr>
        <w:jc w:val="center"/>
        <w:rPr>
          <w:rFonts w:ascii="Arial" w:hAnsi="Arial" w:cs="Arial"/>
          <w:b/>
          <w:sz w:val="44"/>
          <w:szCs w:val="44"/>
        </w:rPr>
      </w:pPr>
      <w:r>
        <w:rPr>
          <w:rFonts w:ascii="Arial" w:hAnsi="Arial" w:cs="Arial"/>
          <w:b/>
          <w:sz w:val="44"/>
          <w:szCs w:val="44"/>
        </w:rPr>
        <w:t xml:space="preserve">Plenární schůze </w:t>
      </w:r>
      <w:r w:rsidRPr="00952B56">
        <w:rPr>
          <w:rFonts w:ascii="Arial" w:hAnsi="Arial" w:cs="Arial"/>
          <w:b/>
          <w:sz w:val="44"/>
          <w:szCs w:val="44"/>
        </w:rPr>
        <w:t xml:space="preserve">RHSD ČR </w:t>
      </w:r>
    </w:p>
    <w:p w:rsidR="00851225" w:rsidRDefault="00851225" w:rsidP="00851225">
      <w:pPr>
        <w:jc w:val="center"/>
        <w:rPr>
          <w:rFonts w:ascii="Arial" w:hAnsi="Arial" w:cs="Arial"/>
          <w:b/>
          <w:sz w:val="44"/>
          <w:szCs w:val="44"/>
        </w:rPr>
      </w:pPr>
    </w:p>
    <w:p w:rsidR="00851225" w:rsidRDefault="00851225" w:rsidP="00851225">
      <w:pPr>
        <w:rPr>
          <w:rFonts w:ascii="Arial" w:hAnsi="Arial" w:cs="Arial"/>
          <w:sz w:val="44"/>
          <w:szCs w:val="44"/>
        </w:rPr>
      </w:pPr>
    </w:p>
    <w:p w:rsidR="00851225" w:rsidRPr="00952B56" w:rsidRDefault="00851225" w:rsidP="00851225">
      <w:pPr>
        <w:rPr>
          <w:rFonts w:ascii="Arial" w:hAnsi="Arial" w:cs="Arial"/>
          <w:sz w:val="44"/>
          <w:szCs w:val="44"/>
        </w:rPr>
      </w:pPr>
    </w:p>
    <w:p w:rsidR="0082540E" w:rsidRDefault="00851225" w:rsidP="00851225">
      <w:pPr>
        <w:jc w:val="center"/>
        <w:outlineLvl w:val="0"/>
        <w:rPr>
          <w:rFonts w:ascii="Arial" w:eastAsia="Times New Roman" w:hAnsi="Arial" w:cs="Arial"/>
          <w:iCs/>
          <w:sz w:val="36"/>
          <w:szCs w:val="36"/>
        </w:rPr>
      </w:pPr>
      <w:r>
        <w:rPr>
          <w:rFonts w:ascii="Arial" w:hAnsi="Arial" w:cs="Arial"/>
          <w:sz w:val="36"/>
          <w:szCs w:val="36"/>
        </w:rPr>
        <w:t xml:space="preserve">Informace o plnění </w:t>
      </w:r>
      <w:r>
        <w:rPr>
          <w:rFonts w:ascii="Arial" w:eastAsia="Times New Roman" w:hAnsi="Arial" w:cs="Arial"/>
          <w:iCs/>
          <w:sz w:val="36"/>
          <w:szCs w:val="36"/>
        </w:rPr>
        <w:t xml:space="preserve">předběžných podmínek </w:t>
      </w:r>
    </w:p>
    <w:p w:rsidR="00851225" w:rsidRDefault="00851225" w:rsidP="00851225">
      <w:pPr>
        <w:jc w:val="center"/>
        <w:outlineLvl w:val="0"/>
        <w:rPr>
          <w:rFonts w:ascii="Arial" w:hAnsi="Arial" w:cs="Arial"/>
          <w:sz w:val="36"/>
          <w:szCs w:val="36"/>
        </w:rPr>
      </w:pPr>
      <w:r>
        <w:rPr>
          <w:rFonts w:ascii="Arial" w:eastAsia="Times New Roman" w:hAnsi="Arial" w:cs="Arial"/>
          <w:iCs/>
          <w:sz w:val="36"/>
          <w:szCs w:val="36"/>
        </w:rPr>
        <w:t xml:space="preserve">– aktuální stav, hlavní rizika a postupy </w:t>
      </w:r>
    </w:p>
    <w:p w:rsidR="00851225" w:rsidRDefault="00851225" w:rsidP="00851225">
      <w:pPr>
        <w:spacing w:before="0" w:line="240" w:lineRule="auto"/>
        <w:jc w:val="left"/>
      </w:pPr>
    </w:p>
    <w:p w:rsidR="00851225" w:rsidRDefault="00851225" w:rsidP="00851225">
      <w:pPr>
        <w:spacing w:before="0" w:line="240" w:lineRule="auto"/>
        <w:jc w:val="left"/>
      </w:pPr>
    </w:p>
    <w:p w:rsidR="00EE775C" w:rsidRDefault="00EE775C" w:rsidP="00EE775C">
      <w:pPr>
        <w:spacing w:before="0" w:line="240" w:lineRule="auto"/>
        <w:jc w:val="left"/>
      </w:pPr>
    </w:p>
    <w:p w:rsidR="00EE775C" w:rsidRDefault="00EE775C" w:rsidP="00EE775C">
      <w:pPr>
        <w:spacing w:before="0" w:line="240" w:lineRule="auto"/>
        <w:jc w:val="left"/>
      </w:pPr>
    </w:p>
    <w:p w:rsidR="002519D7" w:rsidRPr="002519D7" w:rsidRDefault="002519D7" w:rsidP="002519D7">
      <w:pPr>
        <w:jc w:val="center"/>
        <w:rPr>
          <w:rFonts w:ascii="Arial" w:eastAsia="Calibri" w:hAnsi="Arial" w:cs="Arial"/>
          <w:sz w:val="24"/>
          <w:szCs w:val="24"/>
        </w:rPr>
      </w:pPr>
      <w:r w:rsidRPr="002519D7">
        <w:rPr>
          <w:rFonts w:ascii="Arial" w:eastAsia="Calibri" w:hAnsi="Arial" w:cs="Arial"/>
          <w:sz w:val="28"/>
          <w:szCs w:val="28"/>
        </w:rPr>
        <w:t xml:space="preserve">Podklad pro jednání 123. Plenární schůze RHSD ČR </w:t>
      </w:r>
    </w:p>
    <w:p w:rsidR="00EE775C" w:rsidRDefault="00EE775C" w:rsidP="00EE775C">
      <w:pPr>
        <w:spacing w:before="0" w:line="240" w:lineRule="auto"/>
        <w:jc w:val="left"/>
      </w:pPr>
    </w:p>
    <w:p w:rsidR="00EE775C" w:rsidRDefault="00EE775C" w:rsidP="00EE775C">
      <w:pPr>
        <w:spacing w:before="0" w:line="240" w:lineRule="auto"/>
        <w:jc w:val="left"/>
      </w:pPr>
    </w:p>
    <w:p w:rsidR="00EE775C" w:rsidRDefault="00EE775C" w:rsidP="00EE775C">
      <w:pPr>
        <w:spacing w:before="0" w:line="240" w:lineRule="auto"/>
        <w:jc w:val="left"/>
      </w:pPr>
    </w:p>
    <w:p w:rsidR="00EE775C" w:rsidRDefault="00EE775C" w:rsidP="00EE775C">
      <w:pPr>
        <w:spacing w:before="0" w:line="240" w:lineRule="auto"/>
        <w:jc w:val="left"/>
      </w:pPr>
    </w:p>
    <w:p w:rsidR="00EE775C" w:rsidRDefault="00EE775C" w:rsidP="00EE775C">
      <w:pPr>
        <w:spacing w:before="0" w:line="240" w:lineRule="auto"/>
        <w:jc w:val="left"/>
      </w:pPr>
    </w:p>
    <w:p w:rsidR="00EE775C" w:rsidRDefault="00EE775C" w:rsidP="00EE775C">
      <w:pPr>
        <w:spacing w:before="0" w:line="240" w:lineRule="auto"/>
        <w:jc w:val="left"/>
      </w:pPr>
      <w:bookmarkStart w:id="2" w:name="_GoBack"/>
      <w:bookmarkEnd w:id="2"/>
    </w:p>
    <w:p w:rsidR="00EE775C" w:rsidRDefault="00EE775C" w:rsidP="00EE775C">
      <w:pPr>
        <w:spacing w:before="0" w:line="240" w:lineRule="auto"/>
        <w:jc w:val="left"/>
      </w:pPr>
    </w:p>
    <w:p w:rsidR="00EE775C" w:rsidRDefault="00EE775C" w:rsidP="00EE775C">
      <w:pPr>
        <w:spacing w:before="0" w:line="240" w:lineRule="auto"/>
        <w:jc w:val="left"/>
      </w:pPr>
    </w:p>
    <w:p w:rsidR="00EE775C" w:rsidRDefault="00EE775C" w:rsidP="00EE775C">
      <w:pPr>
        <w:spacing w:before="0" w:line="240" w:lineRule="auto"/>
        <w:jc w:val="left"/>
      </w:pPr>
    </w:p>
    <w:p w:rsidR="00EE775C" w:rsidRDefault="00EE775C" w:rsidP="00EE775C">
      <w:pPr>
        <w:spacing w:before="0" w:line="240" w:lineRule="auto"/>
        <w:jc w:val="left"/>
      </w:pPr>
    </w:p>
    <w:p w:rsidR="00952B56" w:rsidRDefault="00952B56" w:rsidP="0082540E">
      <w:pPr>
        <w:spacing w:before="0" w:line="240" w:lineRule="auto"/>
        <w:rPr>
          <w:rFonts w:ascii="Arial" w:hAnsi="Arial" w:cs="Arial"/>
          <w:sz w:val="24"/>
          <w:szCs w:val="24"/>
        </w:rPr>
      </w:pPr>
    </w:p>
    <w:p w:rsidR="00952B56" w:rsidRDefault="00952B56" w:rsidP="00EE775C">
      <w:pPr>
        <w:spacing w:before="0" w:line="240" w:lineRule="auto"/>
        <w:jc w:val="center"/>
        <w:rPr>
          <w:rFonts w:ascii="Arial" w:hAnsi="Arial" w:cs="Arial"/>
          <w:sz w:val="24"/>
          <w:szCs w:val="24"/>
        </w:rPr>
      </w:pPr>
    </w:p>
    <w:p w:rsidR="00EE775C" w:rsidRDefault="00851225" w:rsidP="00EE775C">
      <w:pPr>
        <w:spacing w:before="0" w:line="240" w:lineRule="auto"/>
        <w:jc w:val="center"/>
        <w:rPr>
          <w:rFonts w:ascii="Arial" w:hAnsi="Arial" w:cs="Arial"/>
          <w:sz w:val="24"/>
          <w:szCs w:val="24"/>
        </w:rPr>
      </w:pPr>
      <w:r>
        <w:rPr>
          <w:rFonts w:ascii="Arial" w:hAnsi="Arial" w:cs="Arial"/>
          <w:sz w:val="24"/>
          <w:szCs w:val="24"/>
        </w:rPr>
        <w:t>prosinec 2015</w:t>
      </w:r>
    </w:p>
    <w:p w:rsidR="003B42FE" w:rsidRDefault="00EE17DB" w:rsidP="00F46122">
      <w:pPr>
        <w:tabs>
          <w:tab w:val="center" w:pos="4535"/>
        </w:tabs>
        <w:rPr>
          <w:rFonts w:ascii="Arial" w:eastAsiaTheme="majorEastAsia" w:hAnsi="Arial" w:cs="Arial"/>
          <w:b/>
          <w:bCs/>
          <w:sz w:val="20"/>
          <w:szCs w:val="20"/>
        </w:rPr>
      </w:pPr>
      <w:r w:rsidRPr="003C0BAA">
        <w:rPr>
          <w:rFonts w:ascii="Arial" w:hAnsi="Arial" w:cs="Arial"/>
          <w:sz w:val="20"/>
          <w:szCs w:val="20"/>
        </w:rPr>
        <w:br w:type="page"/>
      </w:r>
      <w:bookmarkStart w:id="3" w:name="_Toc422140937"/>
    </w:p>
    <w:p w:rsidR="002856F6" w:rsidRPr="00143B70" w:rsidRDefault="002856F6" w:rsidP="00143B70">
      <w:pPr>
        <w:keepNext/>
        <w:keepLines/>
        <w:spacing w:before="240" w:after="120"/>
        <w:ind w:left="576" w:hanging="576"/>
        <w:outlineLvl w:val="1"/>
        <w:rPr>
          <w:rFonts w:ascii="Arial" w:eastAsiaTheme="majorEastAsia" w:hAnsi="Arial" w:cs="Arial"/>
          <w:b/>
          <w:bCs/>
          <w:sz w:val="32"/>
          <w:szCs w:val="32"/>
        </w:rPr>
      </w:pPr>
      <w:bookmarkStart w:id="4" w:name="_Toc422140947"/>
      <w:bookmarkStart w:id="5" w:name="_Toc422142878"/>
      <w:bookmarkEnd w:id="0"/>
      <w:bookmarkEnd w:id="1"/>
      <w:bookmarkEnd w:id="3"/>
      <w:r w:rsidRPr="00143B70">
        <w:rPr>
          <w:rFonts w:ascii="Arial" w:eastAsiaTheme="majorEastAsia" w:hAnsi="Arial" w:cs="Arial"/>
          <w:b/>
          <w:bCs/>
          <w:sz w:val="32"/>
          <w:szCs w:val="32"/>
        </w:rPr>
        <w:lastRenderedPageBreak/>
        <w:t>Předběžné podmínky</w:t>
      </w:r>
    </w:p>
    <w:p w:rsidR="00F66A93" w:rsidRPr="00F66A93" w:rsidRDefault="00F66A93" w:rsidP="00143B70">
      <w:pPr>
        <w:keepNext/>
        <w:keepLines/>
        <w:spacing w:before="240" w:after="120"/>
        <w:ind w:left="576" w:hanging="576"/>
        <w:outlineLvl w:val="1"/>
        <w:rPr>
          <w:rFonts w:ascii="Arial" w:eastAsiaTheme="majorEastAsia" w:hAnsi="Arial" w:cs="Arial"/>
          <w:b/>
          <w:bCs/>
          <w:sz w:val="28"/>
          <w:szCs w:val="28"/>
        </w:rPr>
      </w:pPr>
      <w:r w:rsidRPr="00F66A93">
        <w:rPr>
          <w:rFonts w:ascii="Arial" w:eastAsiaTheme="majorEastAsia" w:hAnsi="Arial" w:cs="Arial"/>
          <w:b/>
          <w:bCs/>
          <w:sz w:val="28"/>
          <w:szCs w:val="28"/>
        </w:rPr>
        <w:t xml:space="preserve">1. </w:t>
      </w:r>
      <w:r w:rsidR="002856F6">
        <w:rPr>
          <w:rFonts w:ascii="Arial" w:eastAsiaTheme="majorEastAsia" w:hAnsi="Arial" w:cs="Arial"/>
          <w:b/>
          <w:bCs/>
          <w:sz w:val="28"/>
          <w:szCs w:val="28"/>
        </w:rPr>
        <w:t>Čtvrtletní reporting</w:t>
      </w:r>
      <w:bookmarkEnd w:id="4"/>
      <w:bookmarkEnd w:id="5"/>
      <w:r w:rsidRPr="00F66A93">
        <w:rPr>
          <w:rFonts w:ascii="Arial" w:eastAsiaTheme="majorEastAsia" w:hAnsi="Arial" w:cs="Arial"/>
          <w:b/>
          <w:bCs/>
          <w:sz w:val="28"/>
          <w:szCs w:val="28"/>
        </w:rPr>
        <w:t xml:space="preserve"> </w:t>
      </w:r>
      <w:bookmarkStart w:id="6" w:name="_Toc422140948"/>
      <w:bookmarkStart w:id="7" w:name="_Toc422142611"/>
      <w:bookmarkStart w:id="8" w:name="_Toc422142879"/>
      <w:r w:rsidR="0031329F">
        <w:rPr>
          <w:rFonts w:ascii="Arial" w:eastAsiaTheme="majorEastAsia" w:hAnsi="Arial" w:cs="Arial"/>
          <w:b/>
          <w:bCs/>
          <w:sz w:val="28"/>
          <w:szCs w:val="28"/>
        </w:rPr>
        <w:t>a mechanismus sledování</w:t>
      </w:r>
      <w:bookmarkEnd w:id="6"/>
      <w:bookmarkEnd w:id="7"/>
      <w:bookmarkEnd w:id="8"/>
    </w:p>
    <w:p w:rsidR="0031329F" w:rsidRPr="0031329F" w:rsidRDefault="0031329F" w:rsidP="00143B70">
      <w:pPr>
        <w:spacing w:after="120"/>
        <w:rPr>
          <w:rFonts w:ascii="Arial" w:hAnsi="Arial" w:cs="Arial"/>
          <w:sz w:val="20"/>
          <w:szCs w:val="20"/>
        </w:rPr>
      </w:pPr>
      <w:r w:rsidRPr="00143B70">
        <w:rPr>
          <w:rFonts w:ascii="Arial" w:hAnsi="Arial" w:cs="Arial"/>
          <w:b/>
          <w:sz w:val="20"/>
          <w:szCs w:val="20"/>
        </w:rPr>
        <w:t>Předběžné podmínky (PP) zůstávají i po schválení programů z</w:t>
      </w:r>
      <w:r w:rsidR="00143B70">
        <w:rPr>
          <w:rFonts w:ascii="Arial" w:hAnsi="Arial" w:cs="Arial"/>
          <w:b/>
          <w:sz w:val="20"/>
          <w:szCs w:val="20"/>
        </w:rPr>
        <w:t>e strany Evropské komise (EK) i </w:t>
      </w:r>
      <w:r w:rsidRPr="00143B70">
        <w:rPr>
          <w:rFonts w:ascii="Arial" w:hAnsi="Arial" w:cs="Arial"/>
          <w:b/>
          <w:sz w:val="20"/>
          <w:szCs w:val="20"/>
        </w:rPr>
        <w:t>nadále stěžejním tématem</w:t>
      </w:r>
      <w:r w:rsidRPr="0031329F">
        <w:rPr>
          <w:rFonts w:ascii="Arial" w:hAnsi="Arial" w:cs="Arial"/>
          <w:sz w:val="20"/>
          <w:szCs w:val="20"/>
        </w:rPr>
        <w:t xml:space="preserve">, který EK bude sledovat a monitorovat. </w:t>
      </w:r>
    </w:p>
    <w:p w:rsidR="001A74B8" w:rsidRDefault="0031329F" w:rsidP="00143B70">
      <w:pPr>
        <w:spacing w:after="120"/>
        <w:rPr>
          <w:rFonts w:ascii="Arial" w:hAnsi="Arial" w:cs="Arial"/>
          <w:sz w:val="20"/>
          <w:szCs w:val="20"/>
        </w:rPr>
      </w:pPr>
      <w:r w:rsidRPr="0031329F">
        <w:rPr>
          <w:rFonts w:ascii="Arial" w:hAnsi="Arial" w:cs="Arial"/>
          <w:sz w:val="20"/>
          <w:szCs w:val="20"/>
        </w:rPr>
        <w:t>Na základě požadavku Evropské komise a s ohledem na význam naplňování PP připrav</w:t>
      </w:r>
      <w:r w:rsidR="00B47700">
        <w:rPr>
          <w:rFonts w:ascii="Arial" w:hAnsi="Arial" w:cs="Arial"/>
          <w:sz w:val="20"/>
          <w:szCs w:val="20"/>
        </w:rPr>
        <w:t>uje</w:t>
      </w:r>
      <w:r w:rsidRPr="0031329F">
        <w:rPr>
          <w:rFonts w:ascii="Arial" w:hAnsi="Arial" w:cs="Arial"/>
          <w:sz w:val="20"/>
          <w:szCs w:val="20"/>
        </w:rPr>
        <w:t xml:space="preserve"> Ministerstvo pro místní rozvoj</w:t>
      </w:r>
      <w:r w:rsidR="00175428">
        <w:rPr>
          <w:rFonts w:ascii="Arial" w:hAnsi="Arial" w:cs="Arial"/>
          <w:sz w:val="20"/>
          <w:szCs w:val="20"/>
        </w:rPr>
        <w:t xml:space="preserve"> – Národní orgán pro koordinaci</w:t>
      </w:r>
      <w:r w:rsidRPr="0031329F">
        <w:rPr>
          <w:rFonts w:ascii="Arial" w:hAnsi="Arial" w:cs="Arial"/>
          <w:sz w:val="20"/>
          <w:szCs w:val="20"/>
        </w:rPr>
        <w:t xml:space="preserve"> </w:t>
      </w:r>
      <w:r w:rsidR="00175428">
        <w:rPr>
          <w:rFonts w:ascii="Arial" w:hAnsi="Arial" w:cs="Arial"/>
          <w:sz w:val="20"/>
          <w:szCs w:val="20"/>
        </w:rPr>
        <w:t xml:space="preserve">(MMR-NOK) </w:t>
      </w:r>
      <w:r w:rsidR="00B47700">
        <w:rPr>
          <w:rFonts w:ascii="Arial" w:hAnsi="Arial" w:cs="Arial"/>
          <w:sz w:val="20"/>
          <w:szCs w:val="20"/>
        </w:rPr>
        <w:t xml:space="preserve">pravidelně </w:t>
      </w:r>
      <w:r w:rsidR="00175428">
        <w:rPr>
          <w:rFonts w:ascii="Arial" w:hAnsi="Arial" w:cs="Arial"/>
          <w:sz w:val="20"/>
          <w:szCs w:val="20"/>
        </w:rPr>
        <w:t>ve spolupráci s </w:t>
      </w:r>
      <w:r w:rsidRPr="0031329F">
        <w:rPr>
          <w:rFonts w:ascii="Arial" w:hAnsi="Arial" w:cs="Arial"/>
          <w:sz w:val="20"/>
          <w:szCs w:val="20"/>
        </w:rPr>
        <w:t xml:space="preserve">gestory a </w:t>
      </w:r>
      <w:proofErr w:type="spellStart"/>
      <w:r w:rsidRPr="0031329F">
        <w:rPr>
          <w:rFonts w:ascii="Arial" w:hAnsi="Arial" w:cs="Arial"/>
          <w:sz w:val="20"/>
          <w:szCs w:val="20"/>
        </w:rPr>
        <w:t>spolugestory</w:t>
      </w:r>
      <w:proofErr w:type="spellEnd"/>
      <w:r w:rsidRPr="0031329F">
        <w:rPr>
          <w:rFonts w:ascii="Arial" w:hAnsi="Arial" w:cs="Arial"/>
          <w:sz w:val="20"/>
          <w:szCs w:val="20"/>
        </w:rPr>
        <w:t xml:space="preserve"> PP monitorovací Čtvrtletní zprávu o stavu naplňování předběžných podmínek pro informaci Evropské komis</w:t>
      </w:r>
      <w:r w:rsidR="00B47700">
        <w:rPr>
          <w:rFonts w:ascii="Arial" w:hAnsi="Arial" w:cs="Arial"/>
          <w:sz w:val="20"/>
          <w:szCs w:val="20"/>
        </w:rPr>
        <w:t xml:space="preserve">e </w:t>
      </w:r>
      <w:r w:rsidR="00B47700" w:rsidRPr="00B47700">
        <w:rPr>
          <w:rFonts w:ascii="Arial" w:hAnsi="Arial" w:cs="Arial"/>
          <w:sz w:val="20"/>
          <w:szCs w:val="20"/>
        </w:rPr>
        <w:t>(dále „Čtvrtletní zpráva“),</w:t>
      </w:r>
      <w:r w:rsidR="00B47700" w:rsidRPr="00B47700">
        <w:t xml:space="preserve"> </w:t>
      </w:r>
      <w:r w:rsidR="00B47700" w:rsidRPr="00B47700">
        <w:rPr>
          <w:rFonts w:ascii="Arial" w:hAnsi="Arial" w:cs="Arial"/>
          <w:sz w:val="20"/>
          <w:szCs w:val="20"/>
        </w:rPr>
        <w:t xml:space="preserve">ve které je </w:t>
      </w:r>
      <w:r w:rsidR="00B47700">
        <w:rPr>
          <w:rFonts w:ascii="Arial" w:hAnsi="Arial" w:cs="Arial"/>
          <w:sz w:val="20"/>
          <w:szCs w:val="20"/>
        </w:rPr>
        <w:t>uveden</w:t>
      </w:r>
      <w:r w:rsidR="00B47700" w:rsidRPr="00B47700">
        <w:rPr>
          <w:rFonts w:ascii="Arial" w:hAnsi="Arial" w:cs="Arial"/>
          <w:sz w:val="20"/>
          <w:szCs w:val="20"/>
        </w:rPr>
        <w:t xml:space="preserve"> aktuální stav plnění v roz</w:t>
      </w:r>
      <w:r w:rsidR="00143B70">
        <w:rPr>
          <w:rFonts w:ascii="Arial" w:hAnsi="Arial" w:cs="Arial"/>
          <w:sz w:val="20"/>
          <w:szCs w:val="20"/>
        </w:rPr>
        <w:t>hodném období, další postup dle </w:t>
      </w:r>
      <w:r w:rsidR="00B47700" w:rsidRPr="00B47700">
        <w:rPr>
          <w:rFonts w:ascii="Arial" w:hAnsi="Arial" w:cs="Arial"/>
          <w:sz w:val="20"/>
          <w:szCs w:val="20"/>
        </w:rPr>
        <w:t>předem vydefinovaného harmonogramu a zejména identifikace možných rizik.</w:t>
      </w:r>
      <w:r w:rsidR="00B47700">
        <w:rPr>
          <w:rFonts w:ascii="Arial" w:hAnsi="Arial" w:cs="Arial"/>
          <w:sz w:val="20"/>
          <w:szCs w:val="20"/>
        </w:rPr>
        <w:t xml:space="preserve"> První čtvrtletní zpráva byla zpracována za období </w:t>
      </w:r>
      <w:r w:rsidR="00143B70">
        <w:rPr>
          <w:rFonts w:ascii="Arial" w:hAnsi="Arial" w:cs="Arial"/>
          <w:sz w:val="20"/>
          <w:szCs w:val="20"/>
        </w:rPr>
        <w:t xml:space="preserve">březen – květen 2015. </w:t>
      </w:r>
      <w:r w:rsidRPr="0031329F">
        <w:rPr>
          <w:rFonts w:ascii="Arial" w:hAnsi="Arial" w:cs="Arial"/>
          <w:sz w:val="20"/>
          <w:szCs w:val="20"/>
        </w:rPr>
        <w:t>Čtvrtletní zpráva byla předložena vládě ČR ke schválení dne 1. července 2015 a následně odeslána EK dne 3. července 2015</w:t>
      </w:r>
      <w:r w:rsidR="001A74B8">
        <w:rPr>
          <w:rFonts w:ascii="Arial" w:hAnsi="Arial" w:cs="Arial"/>
          <w:sz w:val="20"/>
          <w:szCs w:val="20"/>
        </w:rPr>
        <w:t>.</w:t>
      </w:r>
    </w:p>
    <w:p w:rsidR="00751299" w:rsidRDefault="003474FB" w:rsidP="00143B70">
      <w:pPr>
        <w:spacing w:after="120"/>
      </w:pPr>
      <w:r>
        <w:rPr>
          <w:rFonts w:ascii="Arial" w:hAnsi="Arial" w:cs="Arial"/>
          <w:sz w:val="20"/>
          <w:szCs w:val="20"/>
        </w:rPr>
        <w:t>Další Čtvrtletní zpráva</w:t>
      </w:r>
      <w:r w:rsidR="000B4C88">
        <w:rPr>
          <w:rFonts w:ascii="Arial" w:hAnsi="Arial" w:cs="Arial"/>
          <w:sz w:val="20"/>
          <w:szCs w:val="20"/>
        </w:rPr>
        <w:t xml:space="preserve">, která </w:t>
      </w:r>
      <w:r>
        <w:rPr>
          <w:rFonts w:ascii="Arial" w:hAnsi="Arial" w:cs="Arial"/>
          <w:sz w:val="20"/>
          <w:szCs w:val="20"/>
        </w:rPr>
        <w:t xml:space="preserve">monitoruje </w:t>
      </w:r>
      <w:r w:rsidRPr="003474FB">
        <w:rPr>
          <w:rFonts w:ascii="Arial" w:hAnsi="Arial" w:cs="Arial"/>
          <w:sz w:val="20"/>
          <w:szCs w:val="20"/>
        </w:rPr>
        <w:t>období plnění za červen – srpen 2015</w:t>
      </w:r>
      <w:r w:rsidR="000B4C88">
        <w:rPr>
          <w:rFonts w:ascii="Arial" w:hAnsi="Arial" w:cs="Arial"/>
          <w:sz w:val="20"/>
          <w:szCs w:val="20"/>
        </w:rPr>
        <w:t xml:space="preserve">, byla </w:t>
      </w:r>
      <w:r>
        <w:rPr>
          <w:rFonts w:ascii="Arial" w:hAnsi="Arial" w:cs="Arial"/>
          <w:sz w:val="20"/>
          <w:szCs w:val="20"/>
        </w:rPr>
        <w:t xml:space="preserve">dne </w:t>
      </w:r>
      <w:r w:rsidR="008C265F">
        <w:rPr>
          <w:rFonts w:ascii="Arial" w:hAnsi="Arial" w:cs="Arial"/>
          <w:sz w:val="20"/>
          <w:szCs w:val="20"/>
        </w:rPr>
        <w:t>26. října 2015</w:t>
      </w:r>
      <w:r>
        <w:rPr>
          <w:rFonts w:ascii="Arial" w:hAnsi="Arial" w:cs="Arial"/>
          <w:sz w:val="20"/>
          <w:szCs w:val="20"/>
        </w:rPr>
        <w:t xml:space="preserve"> </w:t>
      </w:r>
      <w:r w:rsidR="000B4C88">
        <w:rPr>
          <w:rFonts w:ascii="Arial" w:hAnsi="Arial" w:cs="Arial"/>
          <w:sz w:val="20"/>
          <w:szCs w:val="20"/>
        </w:rPr>
        <w:t>předložena vládě ČR k informaci a 27</w:t>
      </w:r>
      <w:r w:rsidR="002F465E">
        <w:rPr>
          <w:rFonts w:ascii="Arial" w:hAnsi="Arial" w:cs="Arial"/>
          <w:sz w:val="20"/>
          <w:szCs w:val="20"/>
        </w:rPr>
        <w:t>.</w:t>
      </w:r>
      <w:r w:rsidR="000B4C88">
        <w:rPr>
          <w:rFonts w:ascii="Arial" w:hAnsi="Arial" w:cs="Arial"/>
          <w:sz w:val="20"/>
          <w:szCs w:val="20"/>
        </w:rPr>
        <w:t xml:space="preserve"> října 2015 byla</w:t>
      </w:r>
      <w:r>
        <w:rPr>
          <w:rFonts w:ascii="Arial" w:hAnsi="Arial" w:cs="Arial"/>
          <w:sz w:val="20"/>
          <w:szCs w:val="20"/>
        </w:rPr>
        <w:t xml:space="preserve"> zaslána </w:t>
      </w:r>
      <w:r w:rsidR="00D94247">
        <w:rPr>
          <w:rFonts w:ascii="Arial" w:hAnsi="Arial" w:cs="Arial"/>
          <w:sz w:val="20"/>
          <w:szCs w:val="20"/>
        </w:rPr>
        <w:t>EK k vyjádření.</w:t>
      </w:r>
      <w:r w:rsidR="00421C10" w:rsidRPr="00421C10">
        <w:t xml:space="preserve"> </w:t>
      </w:r>
      <w:r w:rsidR="00421C10" w:rsidRPr="00421C10">
        <w:rPr>
          <w:rFonts w:ascii="Arial" w:hAnsi="Arial" w:cs="Arial"/>
          <w:sz w:val="20"/>
          <w:szCs w:val="20"/>
        </w:rPr>
        <w:t>V</w:t>
      </w:r>
      <w:r w:rsidR="00421C10">
        <w:rPr>
          <w:rFonts w:ascii="Arial" w:hAnsi="Arial" w:cs="Arial"/>
          <w:sz w:val="20"/>
          <w:szCs w:val="20"/>
        </w:rPr>
        <w:t xml:space="preserve"> této</w:t>
      </w:r>
      <w:r w:rsidR="00421C10" w:rsidRPr="00421C10">
        <w:rPr>
          <w:rFonts w:ascii="Arial" w:hAnsi="Arial" w:cs="Arial"/>
          <w:sz w:val="20"/>
          <w:szCs w:val="20"/>
        </w:rPr>
        <w:t xml:space="preserve"> zprávě jsou zach</w:t>
      </w:r>
      <w:r w:rsidR="00143B70">
        <w:rPr>
          <w:rFonts w:ascii="Arial" w:hAnsi="Arial" w:cs="Arial"/>
          <w:sz w:val="20"/>
          <w:szCs w:val="20"/>
        </w:rPr>
        <w:t>ycena i ta kritéria některých z </w:t>
      </w:r>
      <w:r w:rsidR="00421C10" w:rsidRPr="00421C10">
        <w:rPr>
          <w:rFonts w:ascii="Arial" w:hAnsi="Arial" w:cs="Arial"/>
          <w:sz w:val="20"/>
          <w:szCs w:val="20"/>
        </w:rPr>
        <w:t>předběžných podmínek, která již byla Evropské komisi deklarována jako splněná v minulém období, nicméně doposud nebyla obdržena souhlasná reakce ze strany EK.</w:t>
      </w:r>
      <w:r w:rsidR="00751299" w:rsidRPr="00751299">
        <w:t xml:space="preserve"> </w:t>
      </w:r>
    </w:p>
    <w:p w:rsidR="000C0239" w:rsidRDefault="00143B70" w:rsidP="00143B70">
      <w:pPr>
        <w:spacing w:after="120"/>
        <w:rPr>
          <w:rFonts w:ascii="Arial" w:hAnsi="Arial" w:cs="Arial"/>
          <w:sz w:val="20"/>
          <w:szCs w:val="20"/>
        </w:rPr>
      </w:pPr>
      <w:r>
        <w:rPr>
          <w:rFonts w:ascii="Arial" w:hAnsi="Arial" w:cs="Arial"/>
          <w:sz w:val="20"/>
          <w:szCs w:val="20"/>
        </w:rPr>
        <w:t>Oproti předchozí zprávě došlo</w:t>
      </w:r>
      <w:r w:rsidR="00751299" w:rsidRPr="00751299">
        <w:rPr>
          <w:rFonts w:ascii="Arial" w:hAnsi="Arial" w:cs="Arial"/>
          <w:sz w:val="20"/>
          <w:szCs w:val="20"/>
        </w:rPr>
        <w:t xml:space="preserve"> ke skokovému nárůstu opatření, kritérií i předběžných podmínek, které</w:t>
      </w:r>
      <w:r w:rsidR="002F465E">
        <w:rPr>
          <w:rFonts w:ascii="Arial" w:hAnsi="Arial" w:cs="Arial"/>
          <w:sz w:val="20"/>
          <w:szCs w:val="20"/>
        </w:rPr>
        <w:t> </w:t>
      </w:r>
      <w:r w:rsidR="00751299" w:rsidRPr="00751299">
        <w:rPr>
          <w:rFonts w:ascii="Arial" w:hAnsi="Arial" w:cs="Arial"/>
          <w:sz w:val="20"/>
          <w:szCs w:val="20"/>
        </w:rPr>
        <w:t>Česká republika považuje za splněné a v tomto smyslu bude po Evropské komisi požadovat reakci.</w:t>
      </w:r>
    </w:p>
    <w:p w:rsidR="00713F57" w:rsidRDefault="0031329F" w:rsidP="00143B70">
      <w:pPr>
        <w:spacing w:after="120"/>
        <w:rPr>
          <w:rFonts w:ascii="Arial" w:hAnsi="Arial" w:cs="Arial"/>
          <w:sz w:val="20"/>
          <w:szCs w:val="20"/>
        </w:rPr>
      </w:pPr>
      <w:r w:rsidRPr="0031329F">
        <w:rPr>
          <w:rFonts w:ascii="Arial" w:hAnsi="Arial" w:cs="Arial"/>
          <w:sz w:val="20"/>
          <w:szCs w:val="20"/>
        </w:rPr>
        <w:t>Jak v případě deklarovaného splnění ze strany gestora předběžné p</w:t>
      </w:r>
      <w:r w:rsidR="00143B70">
        <w:rPr>
          <w:rFonts w:ascii="Arial" w:hAnsi="Arial" w:cs="Arial"/>
          <w:sz w:val="20"/>
          <w:szCs w:val="20"/>
        </w:rPr>
        <w:t>odmínky, tak v případě posunů v </w:t>
      </w:r>
      <w:r w:rsidRPr="0031329F">
        <w:rPr>
          <w:rFonts w:ascii="Arial" w:hAnsi="Arial" w:cs="Arial"/>
          <w:sz w:val="20"/>
          <w:szCs w:val="20"/>
        </w:rPr>
        <w:t xml:space="preserve">rámci akčních plánů, je z hlediska ČR podstatná zejména zpětná vazba ze strany Evropské komise. Z toho důvodu Evropská komise stanovila postup vedoucí k oficiální verifikaci splnění PP. Formální verifikace předběžné podmínky proběhne až na základě předložení prostřednictvím </w:t>
      </w:r>
      <w:r w:rsidR="008C265F">
        <w:rPr>
          <w:rFonts w:ascii="Arial" w:hAnsi="Arial" w:cs="Arial"/>
          <w:sz w:val="20"/>
          <w:szCs w:val="20"/>
        </w:rPr>
        <w:t xml:space="preserve">systému </w:t>
      </w:r>
      <w:r w:rsidR="00143B70">
        <w:rPr>
          <w:rFonts w:ascii="Arial" w:hAnsi="Arial" w:cs="Arial"/>
          <w:sz w:val="20"/>
          <w:szCs w:val="20"/>
        </w:rPr>
        <w:t>SFC.</w:t>
      </w:r>
      <w:r w:rsidRPr="0031329F">
        <w:rPr>
          <w:rFonts w:ascii="Arial" w:hAnsi="Arial" w:cs="Arial"/>
          <w:sz w:val="20"/>
          <w:szCs w:val="20"/>
        </w:rPr>
        <w:t xml:space="preserve"> </w:t>
      </w:r>
      <w:r w:rsidR="004C0838">
        <w:rPr>
          <w:rFonts w:ascii="Arial" w:hAnsi="Arial" w:cs="Arial"/>
          <w:sz w:val="20"/>
          <w:szCs w:val="20"/>
        </w:rPr>
        <w:t>EK</w:t>
      </w:r>
      <w:r w:rsidR="002F465E">
        <w:rPr>
          <w:rFonts w:ascii="Arial" w:hAnsi="Arial" w:cs="Arial"/>
          <w:sz w:val="20"/>
          <w:szCs w:val="20"/>
        </w:rPr>
        <w:t> </w:t>
      </w:r>
      <w:r w:rsidR="004C0838">
        <w:rPr>
          <w:rFonts w:ascii="Arial" w:hAnsi="Arial" w:cs="Arial"/>
          <w:sz w:val="20"/>
          <w:szCs w:val="20"/>
        </w:rPr>
        <w:t>ve svém posledním vyjádření specifikovala, že</w:t>
      </w:r>
      <w:r w:rsidR="006D5CA7">
        <w:rPr>
          <w:rFonts w:ascii="Arial" w:hAnsi="Arial" w:cs="Arial"/>
          <w:sz w:val="20"/>
          <w:szCs w:val="20"/>
        </w:rPr>
        <w:t xml:space="preserve"> </w:t>
      </w:r>
      <w:r w:rsidR="003F737E">
        <w:rPr>
          <w:rFonts w:ascii="Arial" w:hAnsi="Arial" w:cs="Arial"/>
          <w:sz w:val="20"/>
          <w:szCs w:val="20"/>
        </w:rPr>
        <w:t>u dokumentů</w:t>
      </w:r>
      <w:r w:rsidR="00BD5B64">
        <w:rPr>
          <w:rFonts w:ascii="Arial" w:hAnsi="Arial" w:cs="Arial"/>
          <w:sz w:val="20"/>
          <w:szCs w:val="20"/>
        </w:rPr>
        <w:t xml:space="preserve"> dokazující</w:t>
      </w:r>
      <w:r w:rsidR="003F737E">
        <w:rPr>
          <w:rFonts w:ascii="Arial" w:hAnsi="Arial" w:cs="Arial"/>
          <w:sz w:val="20"/>
          <w:szCs w:val="20"/>
        </w:rPr>
        <w:t>ch</w:t>
      </w:r>
      <w:r w:rsidR="00BD5B64">
        <w:rPr>
          <w:rFonts w:ascii="Arial" w:hAnsi="Arial" w:cs="Arial"/>
          <w:sz w:val="20"/>
          <w:szCs w:val="20"/>
        </w:rPr>
        <w:t xml:space="preserve"> splnění </w:t>
      </w:r>
      <w:r w:rsidR="006D5CA7">
        <w:rPr>
          <w:rFonts w:ascii="Arial" w:hAnsi="Arial" w:cs="Arial"/>
          <w:sz w:val="20"/>
          <w:szCs w:val="20"/>
        </w:rPr>
        <w:t>předběžn</w:t>
      </w:r>
      <w:r w:rsidR="00BD5B64">
        <w:rPr>
          <w:rFonts w:ascii="Arial" w:hAnsi="Arial" w:cs="Arial"/>
          <w:sz w:val="20"/>
          <w:szCs w:val="20"/>
        </w:rPr>
        <w:t>ých</w:t>
      </w:r>
      <w:r w:rsidR="006D5CA7">
        <w:rPr>
          <w:rFonts w:ascii="Arial" w:hAnsi="Arial" w:cs="Arial"/>
          <w:sz w:val="20"/>
          <w:szCs w:val="20"/>
        </w:rPr>
        <w:t xml:space="preserve"> podmín</w:t>
      </w:r>
      <w:r w:rsidR="00BD5B64">
        <w:rPr>
          <w:rFonts w:ascii="Arial" w:hAnsi="Arial" w:cs="Arial"/>
          <w:sz w:val="20"/>
          <w:szCs w:val="20"/>
        </w:rPr>
        <w:t>ek</w:t>
      </w:r>
      <w:r w:rsidR="00061E6F">
        <w:rPr>
          <w:rFonts w:ascii="Arial" w:hAnsi="Arial" w:cs="Arial"/>
          <w:sz w:val="20"/>
          <w:szCs w:val="20"/>
        </w:rPr>
        <w:t>, které byly na národní úrovni schváleny vládou ČR</w:t>
      </w:r>
      <w:r w:rsidR="00BD5B64">
        <w:rPr>
          <w:rFonts w:ascii="Arial" w:hAnsi="Arial" w:cs="Arial"/>
          <w:sz w:val="20"/>
          <w:szCs w:val="20"/>
        </w:rPr>
        <w:t xml:space="preserve">, </w:t>
      </w:r>
      <w:r w:rsidR="003F737E">
        <w:rPr>
          <w:rFonts w:ascii="Arial" w:hAnsi="Arial" w:cs="Arial"/>
          <w:sz w:val="20"/>
          <w:szCs w:val="20"/>
        </w:rPr>
        <w:t xml:space="preserve">ale </w:t>
      </w:r>
      <w:r w:rsidR="00BD5B64">
        <w:rPr>
          <w:rFonts w:ascii="Arial" w:hAnsi="Arial" w:cs="Arial"/>
          <w:sz w:val="20"/>
          <w:szCs w:val="20"/>
        </w:rPr>
        <w:t>dosud neprošly neformální verifikací ze strany EK</w:t>
      </w:r>
      <w:r w:rsidR="003F737E">
        <w:rPr>
          <w:rFonts w:ascii="Arial" w:hAnsi="Arial" w:cs="Arial"/>
          <w:sz w:val="20"/>
          <w:szCs w:val="20"/>
        </w:rPr>
        <w:t>, má být zahájen rovnou proces formální verifikace.</w:t>
      </w:r>
      <w:r w:rsidR="0084501A">
        <w:rPr>
          <w:rFonts w:ascii="Arial" w:hAnsi="Arial" w:cs="Arial"/>
          <w:sz w:val="20"/>
          <w:szCs w:val="20"/>
        </w:rPr>
        <w:t xml:space="preserve"> </w:t>
      </w:r>
    </w:p>
    <w:p w:rsidR="008C265F" w:rsidRDefault="0031329F" w:rsidP="00143B70">
      <w:pPr>
        <w:spacing w:after="120"/>
        <w:rPr>
          <w:rFonts w:ascii="Arial" w:hAnsi="Arial" w:cs="Arial"/>
          <w:sz w:val="20"/>
          <w:szCs w:val="20"/>
        </w:rPr>
      </w:pPr>
      <w:r w:rsidRPr="0031329F">
        <w:rPr>
          <w:rFonts w:ascii="Arial" w:hAnsi="Arial" w:cs="Arial"/>
          <w:sz w:val="20"/>
          <w:szCs w:val="20"/>
        </w:rPr>
        <w:t>První tzv. formální verifikací momentálně prochází pouze Akční plán pro inkluzivní vzdělávání, vedoucí ke splnění PP 10.1 a 10. 3.</w:t>
      </w:r>
      <w:r w:rsidR="0084501A">
        <w:rPr>
          <w:rFonts w:ascii="Arial" w:hAnsi="Arial" w:cs="Arial"/>
          <w:sz w:val="20"/>
          <w:szCs w:val="20"/>
        </w:rPr>
        <w:t>, který b</w:t>
      </w:r>
      <w:r w:rsidR="00F25F00">
        <w:rPr>
          <w:rFonts w:ascii="Arial" w:hAnsi="Arial" w:cs="Arial"/>
          <w:sz w:val="20"/>
          <w:szCs w:val="20"/>
        </w:rPr>
        <w:t>y</w:t>
      </w:r>
      <w:r w:rsidR="0084501A">
        <w:rPr>
          <w:rFonts w:ascii="Arial" w:hAnsi="Arial" w:cs="Arial"/>
          <w:sz w:val="20"/>
          <w:szCs w:val="20"/>
        </w:rPr>
        <w:t>l do SFC vložen 31. července 2015.</w:t>
      </w:r>
    </w:p>
    <w:p w:rsidR="006B45D9" w:rsidRPr="00F66A93" w:rsidRDefault="006B45D9" w:rsidP="00F66A93"/>
    <w:p w:rsidR="00F66A93" w:rsidRPr="00143B70" w:rsidRDefault="002856F6" w:rsidP="00BC6530">
      <w:pPr>
        <w:keepNext/>
        <w:keepLines/>
        <w:spacing w:before="200" w:after="240"/>
        <w:ind w:left="426" w:hanging="426"/>
        <w:outlineLvl w:val="2"/>
        <w:rPr>
          <w:rFonts w:ascii="Arial" w:eastAsiaTheme="majorEastAsia" w:hAnsi="Arial" w:cs="Arial"/>
          <w:b/>
          <w:bCs/>
          <w:sz w:val="28"/>
          <w:szCs w:val="28"/>
        </w:rPr>
      </w:pPr>
      <w:r w:rsidRPr="00143B70">
        <w:rPr>
          <w:rFonts w:ascii="Arial" w:eastAsiaTheme="majorEastAsia" w:hAnsi="Arial" w:cs="Arial"/>
          <w:b/>
          <w:bCs/>
          <w:sz w:val="28"/>
          <w:szCs w:val="28"/>
        </w:rPr>
        <w:t xml:space="preserve">2. Stav naplňování předběžných podmínek </w:t>
      </w:r>
      <w:r w:rsidR="00F66A93" w:rsidRPr="00143B70">
        <w:rPr>
          <w:rFonts w:ascii="Arial" w:eastAsiaTheme="majorEastAsia" w:hAnsi="Arial" w:cs="Arial"/>
          <w:b/>
          <w:bCs/>
          <w:sz w:val="28"/>
          <w:szCs w:val="28"/>
        </w:rPr>
        <w:t>(k</w:t>
      </w:r>
      <w:r w:rsidRPr="00143B70">
        <w:rPr>
          <w:rFonts w:ascii="Arial" w:eastAsiaTheme="majorEastAsia" w:hAnsi="Arial" w:cs="Arial"/>
          <w:b/>
          <w:bCs/>
          <w:sz w:val="28"/>
          <w:szCs w:val="28"/>
        </w:rPr>
        <w:t>e dni</w:t>
      </w:r>
      <w:r w:rsidR="00F66A93" w:rsidRPr="00143B70">
        <w:rPr>
          <w:rFonts w:ascii="Arial" w:eastAsiaTheme="majorEastAsia" w:hAnsi="Arial" w:cs="Arial"/>
          <w:b/>
          <w:bCs/>
          <w:sz w:val="28"/>
          <w:szCs w:val="28"/>
        </w:rPr>
        <w:t xml:space="preserve"> </w:t>
      </w:r>
      <w:r w:rsidR="00851225">
        <w:rPr>
          <w:rFonts w:ascii="Arial" w:eastAsiaTheme="majorEastAsia" w:hAnsi="Arial" w:cs="Arial"/>
          <w:b/>
          <w:bCs/>
          <w:sz w:val="28"/>
          <w:szCs w:val="28"/>
        </w:rPr>
        <w:t>9. listopadu</w:t>
      </w:r>
      <w:r w:rsidR="00F66A93" w:rsidRPr="00143B70">
        <w:rPr>
          <w:rFonts w:ascii="Arial" w:eastAsiaTheme="majorEastAsia" w:hAnsi="Arial" w:cs="Arial"/>
          <w:b/>
          <w:bCs/>
          <w:sz w:val="28"/>
          <w:szCs w:val="28"/>
        </w:rPr>
        <w:t xml:space="preserve"> 2015)</w:t>
      </w:r>
    </w:p>
    <w:p w:rsidR="005C2B48" w:rsidRDefault="005C2B48" w:rsidP="00143B70">
      <w:pPr>
        <w:spacing w:before="0" w:after="240"/>
        <w:contextualSpacing/>
        <w:rPr>
          <w:rFonts w:ascii="Arial" w:hAnsi="Arial" w:cs="Arial"/>
          <w:sz w:val="20"/>
          <w:szCs w:val="20"/>
          <w:lang w:eastAsia="en-US"/>
        </w:rPr>
      </w:pPr>
      <w:r w:rsidRPr="005C2B48">
        <w:rPr>
          <w:rFonts w:ascii="Arial" w:hAnsi="Arial" w:cs="Arial"/>
          <w:sz w:val="20"/>
          <w:szCs w:val="20"/>
          <w:lang w:eastAsia="en-US"/>
        </w:rPr>
        <w:t xml:space="preserve">Splněná PP neznamená, že není třeba na ní pracovat. V e-mailu </w:t>
      </w:r>
      <w:r w:rsidR="00143B70">
        <w:rPr>
          <w:rFonts w:ascii="Arial" w:hAnsi="Arial" w:cs="Arial"/>
          <w:sz w:val="20"/>
          <w:szCs w:val="20"/>
          <w:lang w:eastAsia="en-US"/>
        </w:rPr>
        <w:t>ze 17. dubna 2015 EK uvedla, že </w:t>
      </w:r>
      <w:r w:rsidRPr="005C2B48">
        <w:rPr>
          <w:rFonts w:ascii="Arial" w:hAnsi="Arial" w:cs="Arial"/>
          <w:sz w:val="20"/>
          <w:szCs w:val="20"/>
          <w:lang w:eastAsia="en-US"/>
        </w:rPr>
        <w:t>může kdykoli verifikovat efektivní aplikaci/implementaci PP i poté, co byly formálně uznány jako splněné.</w:t>
      </w:r>
    </w:p>
    <w:p w:rsidR="000C0239" w:rsidRDefault="005C2B48" w:rsidP="00143B70">
      <w:pPr>
        <w:spacing w:before="0" w:after="240"/>
        <w:contextualSpacing/>
        <w:rPr>
          <w:rFonts w:ascii="Arial" w:hAnsi="Arial" w:cs="Arial"/>
          <w:sz w:val="20"/>
          <w:szCs w:val="20"/>
          <w:lang w:eastAsia="en-US"/>
        </w:rPr>
      </w:pPr>
      <w:r w:rsidRPr="0082540E">
        <w:rPr>
          <w:rFonts w:ascii="Arial" w:hAnsi="Arial" w:cs="Arial"/>
          <w:sz w:val="20"/>
          <w:szCs w:val="20"/>
          <w:lang w:eastAsia="en-US"/>
        </w:rPr>
        <w:t xml:space="preserve">Míra naplňování odráží u ještě neverifikovaných předběžných podmínek výchozí stanovisko ČR vůči EK, nicméně jak je uvedeno výše, konečné posouzení splnění je plně v gesci EK. Aktuálně se tato situace týká předběžných podmínek </w:t>
      </w:r>
      <w:r w:rsidR="00FE3FF1" w:rsidRPr="0082540E">
        <w:rPr>
          <w:rFonts w:ascii="Arial" w:hAnsi="Arial" w:cs="Arial"/>
          <w:sz w:val="20"/>
          <w:szCs w:val="20"/>
          <w:lang w:eastAsia="en-US"/>
        </w:rPr>
        <w:t>10.1 a 10.3, u kterých probíhá formální posouzení přes systém SFC, d</w:t>
      </w:r>
      <w:r w:rsidR="00AD2D07" w:rsidRPr="0082540E">
        <w:rPr>
          <w:rFonts w:ascii="Arial" w:hAnsi="Arial" w:cs="Arial"/>
          <w:sz w:val="20"/>
          <w:szCs w:val="20"/>
          <w:lang w:eastAsia="en-US"/>
        </w:rPr>
        <w:t xml:space="preserve">ále předběžných podmínek, </w:t>
      </w:r>
      <w:r w:rsidRPr="0082540E">
        <w:rPr>
          <w:rFonts w:ascii="Arial" w:hAnsi="Arial" w:cs="Arial"/>
          <w:sz w:val="20"/>
          <w:szCs w:val="20"/>
          <w:lang w:eastAsia="en-US"/>
        </w:rPr>
        <w:t xml:space="preserve">2.1, </w:t>
      </w:r>
      <w:r w:rsidR="00542564" w:rsidRPr="0082540E">
        <w:rPr>
          <w:rFonts w:ascii="Arial" w:hAnsi="Arial" w:cs="Arial"/>
          <w:sz w:val="20"/>
          <w:szCs w:val="20"/>
          <w:lang w:eastAsia="en-US"/>
        </w:rPr>
        <w:t xml:space="preserve">a </w:t>
      </w:r>
      <w:r w:rsidR="0082540E">
        <w:rPr>
          <w:rFonts w:ascii="Arial" w:hAnsi="Arial" w:cs="Arial"/>
          <w:sz w:val="20"/>
          <w:szCs w:val="20"/>
          <w:lang w:eastAsia="en-US"/>
        </w:rPr>
        <w:t>9.3</w:t>
      </w:r>
      <w:r w:rsidR="00751299" w:rsidRPr="0082540E">
        <w:rPr>
          <w:rFonts w:ascii="Arial" w:hAnsi="Arial" w:cs="Arial"/>
          <w:sz w:val="20"/>
          <w:szCs w:val="20"/>
          <w:lang w:eastAsia="en-US"/>
        </w:rPr>
        <w:t xml:space="preserve">, </w:t>
      </w:r>
      <w:r w:rsidR="007376A7" w:rsidRPr="0082540E">
        <w:rPr>
          <w:rFonts w:ascii="Arial" w:hAnsi="Arial" w:cs="Arial"/>
          <w:sz w:val="20"/>
          <w:szCs w:val="20"/>
          <w:lang w:eastAsia="en-US"/>
        </w:rPr>
        <w:t>které byly splněny na národní úrovni</w:t>
      </w:r>
      <w:r w:rsidR="00443990">
        <w:rPr>
          <w:rFonts w:ascii="Arial" w:hAnsi="Arial" w:cs="Arial"/>
          <w:sz w:val="20"/>
          <w:szCs w:val="20"/>
          <w:lang w:eastAsia="en-US"/>
        </w:rPr>
        <w:t>,</w:t>
      </w:r>
      <w:r w:rsidR="00542564" w:rsidRPr="0082540E">
        <w:rPr>
          <w:rFonts w:ascii="Arial" w:hAnsi="Arial" w:cs="Arial"/>
          <w:sz w:val="20"/>
          <w:szCs w:val="20"/>
          <w:lang w:eastAsia="en-US"/>
        </w:rPr>
        <w:t xml:space="preserve"> </w:t>
      </w:r>
      <w:r w:rsidR="00B505F3" w:rsidRPr="0082540E">
        <w:rPr>
          <w:rFonts w:ascii="Arial" w:hAnsi="Arial" w:cs="Arial"/>
          <w:sz w:val="20"/>
          <w:szCs w:val="20"/>
          <w:lang w:eastAsia="en-US"/>
        </w:rPr>
        <w:t xml:space="preserve">a u kterých </w:t>
      </w:r>
      <w:r w:rsidR="0077750A" w:rsidRPr="0082540E">
        <w:rPr>
          <w:rFonts w:ascii="Arial" w:hAnsi="Arial" w:cs="Arial"/>
          <w:sz w:val="20"/>
          <w:szCs w:val="20"/>
          <w:lang w:eastAsia="en-US"/>
        </w:rPr>
        <w:t xml:space="preserve">lze v listopadu 2015 očekávat zahájení procesu </w:t>
      </w:r>
      <w:r w:rsidR="007C3B7A" w:rsidRPr="0082540E">
        <w:rPr>
          <w:rFonts w:ascii="Arial" w:hAnsi="Arial" w:cs="Arial"/>
          <w:sz w:val="20"/>
          <w:szCs w:val="20"/>
          <w:lang w:eastAsia="en-US"/>
        </w:rPr>
        <w:t>formální verifikace</w:t>
      </w:r>
      <w:r w:rsidR="000B5A42" w:rsidRPr="0082540E">
        <w:rPr>
          <w:rFonts w:ascii="Arial" w:hAnsi="Arial" w:cs="Arial"/>
          <w:sz w:val="20"/>
          <w:szCs w:val="20"/>
          <w:lang w:eastAsia="en-US"/>
        </w:rPr>
        <w:t xml:space="preserve">. </w:t>
      </w:r>
      <w:r w:rsidR="00BB7862" w:rsidRPr="0082540E">
        <w:rPr>
          <w:rFonts w:ascii="Arial" w:hAnsi="Arial" w:cs="Arial"/>
          <w:sz w:val="20"/>
          <w:szCs w:val="20"/>
          <w:lang w:eastAsia="en-US"/>
        </w:rPr>
        <w:t>Neformální konzultace aktuálně probíhají u p</w:t>
      </w:r>
      <w:r w:rsidR="007C3B7A" w:rsidRPr="0082540E">
        <w:rPr>
          <w:rFonts w:ascii="Arial" w:hAnsi="Arial" w:cs="Arial"/>
          <w:sz w:val="20"/>
          <w:szCs w:val="20"/>
          <w:lang w:eastAsia="en-US"/>
        </w:rPr>
        <w:t>ředběžn</w:t>
      </w:r>
      <w:r w:rsidR="00BB7862" w:rsidRPr="0082540E">
        <w:rPr>
          <w:rFonts w:ascii="Arial" w:hAnsi="Arial" w:cs="Arial"/>
          <w:sz w:val="20"/>
          <w:szCs w:val="20"/>
          <w:lang w:eastAsia="en-US"/>
        </w:rPr>
        <w:t>ých</w:t>
      </w:r>
      <w:r w:rsidR="007C3B7A" w:rsidRPr="0082540E">
        <w:rPr>
          <w:rFonts w:ascii="Arial" w:hAnsi="Arial" w:cs="Arial"/>
          <w:sz w:val="20"/>
          <w:szCs w:val="20"/>
          <w:lang w:eastAsia="en-US"/>
        </w:rPr>
        <w:t xml:space="preserve"> podmín</w:t>
      </w:r>
      <w:r w:rsidR="00BB7862" w:rsidRPr="0082540E">
        <w:rPr>
          <w:rFonts w:ascii="Arial" w:hAnsi="Arial" w:cs="Arial"/>
          <w:sz w:val="20"/>
          <w:szCs w:val="20"/>
          <w:lang w:eastAsia="en-US"/>
        </w:rPr>
        <w:t>ek</w:t>
      </w:r>
      <w:r w:rsidR="007C3B7A" w:rsidRPr="0082540E">
        <w:rPr>
          <w:rFonts w:ascii="Arial" w:hAnsi="Arial" w:cs="Arial"/>
          <w:sz w:val="20"/>
          <w:szCs w:val="20"/>
          <w:lang w:eastAsia="en-US"/>
        </w:rPr>
        <w:t xml:space="preserve"> 1.1 a 4.1</w:t>
      </w:r>
      <w:r w:rsidR="00BB7862" w:rsidRPr="0082540E">
        <w:rPr>
          <w:rFonts w:ascii="Arial" w:hAnsi="Arial" w:cs="Arial"/>
          <w:sz w:val="20"/>
          <w:szCs w:val="20"/>
          <w:lang w:eastAsia="en-US"/>
        </w:rPr>
        <w:t xml:space="preserve"> a 7.2.</w:t>
      </w:r>
      <w:r w:rsidR="00533A50" w:rsidRPr="0082540E">
        <w:rPr>
          <w:rFonts w:ascii="Arial" w:hAnsi="Arial" w:cs="Arial"/>
          <w:sz w:val="20"/>
          <w:szCs w:val="20"/>
          <w:lang w:eastAsia="en-US"/>
        </w:rPr>
        <w:t xml:space="preserve"> </w:t>
      </w:r>
    </w:p>
    <w:p w:rsidR="00BB7862" w:rsidRDefault="00BB7862" w:rsidP="00143B70">
      <w:pPr>
        <w:spacing w:before="0" w:after="240"/>
        <w:contextualSpacing/>
        <w:rPr>
          <w:rFonts w:ascii="Arial" w:hAnsi="Arial" w:cs="Arial"/>
          <w:sz w:val="20"/>
          <w:szCs w:val="20"/>
          <w:lang w:eastAsia="en-US"/>
        </w:rPr>
      </w:pPr>
    </w:p>
    <w:p w:rsidR="00781951" w:rsidRDefault="00EF7E28" w:rsidP="00143B70">
      <w:pPr>
        <w:spacing w:before="0" w:after="240"/>
        <w:contextualSpacing/>
        <w:rPr>
          <w:rFonts w:ascii="Arial" w:hAnsi="Arial" w:cs="Arial"/>
          <w:sz w:val="20"/>
          <w:szCs w:val="20"/>
          <w:lang w:eastAsia="en-US"/>
        </w:rPr>
      </w:pPr>
      <w:r>
        <w:rPr>
          <w:rFonts w:ascii="Arial" w:hAnsi="Arial" w:cs="Arial"/>
          <w:sz w:val="20"/>
          <w:szCs w:val="20"/>
          <w:lang w:eastAsia="en-US"/>
        </w:rPr>
        <w:t>Jak je uvedeno výše, n</w:t>
      </w:r>
      <w:r w:rsidR="00A92161">
        <w:rPr>
          <w:rFonts w:ascii="Arial" w:hAnsi="Arial" w:cs="Arial"/>
          <w:sz w:val="20"/>
          <w:szCs w:val="20"/>
          <w:lang w:eastAsia="en-US"/>
        </w:rPr>
        <w:t xml:space="preserve">ejdále v procesu verifikace plnění předběžných podmínek se nachází </w:t>
      </w:r>
      <w:r w:rsidR="007376A7" w:rsidRPr="007376A7">
        <w:rPr>
          <w:rFonts w:ascii="Arial" w:hAnsi="Arial" w:cs="Arial"/>
          <w:sz w:val="20"/>
          <w:szCs w:val="20"/>
          <w:lang w:eastAsia="en-US"/>
        </w:rPr>
        <w:t>celkově splněn</w:t>
      </w:r>
      <w:r w:rsidR="00A92161">
        <w:rPr>
          <w:rFonts w:ascii="Arial" w:hAnsi="Arial" w:cs="Arial"/>
          <w:sz w:val="20"/>
          <w:szCs w:val="20"/>
          <w:lang w:eastAsia="en-US"/>
        </w:rPr>
        <w:t>é</w:t>
      </w:r>
      <w:r w:rsidR="007376A7" w:rsidRPr="007376A7">
        <w:rPr>
          <w:rFonts w:ascii="Arial" w:hAnsi="Arial" w:cs="Arial"/>
          <w:sz w:val="20"/>
          <w:szCs w:val="20"/>
          <w:lang w:eastAsia="en-US"/>
        </w:rPr>
        <w:t xml:space="preserve"> předběžné podmínky </w:t>
      </w:r>
      <w:r w:rsidR="007376A7" w:rsidRPr="00143B70">
        <w:rPr>
          <w:rFonts w:ascii="Arial" w:hAnsi="Arial" w:cs="Arial"/>
          <w:b/>
          <w:sz w:val="20"/>
          <w:szCs w:val="20"/>
          <w:lang w:eastAsia="en-US"/>
        </w:rPr>
        <w:t>10.1 Ukončování školní docházky a 10.3 Celoživotní učení,</w:t>
      </w:r>
      <w:r w:rsidR="007376A7" w:rsidRPr="007376A7">
        <w:rPr>
          <w:rFonts w:ascii="Arial" w:hAnsi="Arial" w:cs="Arial"/>
          <w:sz w:val="20"/>
          <w:szCs w:val="20"/>
          <w:lang w:eastAsia="en-US"/>
        </w:rPr>
        <w:t xml:space="preserve"> </w:t>
      </w:r>
      <w:r w:rsidR="00A92161">
        <w:rPr>
          <w:rFonts w:ascii="Arial" w:hAnsi="Arial" w:cs="Arial"/>
          <w:sz w:val="20"/>
          <w:szCs w:val="20"/>
          <w:lang w:eastAsia="en-US"/>
        </w:rPr>
        <w:t>které</w:t>
      </w:r>
      <w:r w:rsidR="00443990">
        <w:rPr>
          <w:rFonts w:ascii="Arial" w:hAnsi="Arial" w:cs="Arial"/>
          <w:sz w:val="20"/>
          <w:szCs w:val="20"/>
          <w:lang w:eastAsia="en-US"/>
        </w:rPr>
        <w:t> </w:t>
      </w:r>
      <w:r w:rsidR="00A92161">
        <w:rPr>
          <w:rFonts w:ascii="Arial" w:hAnsi="Arial" w:cs="Arial"/>
          <w:sz w:val="20"/>
          <w:szCs w:val="20"/>
          <w:lang w:eastAsia="en-US"/>
        </w:rPr>
        <w:t xml:space="preserve">byly splněny </w:t>
      </w:r>
      <w:r w:rsidR="00143B70">
        <w:rPr>
          <w:rFonts w:ascii="Arial" w:hAnsi="Arial" w:cs="Arial"/>
          <w:sz w:val="20"/>
          <w:szCs w:val="20"/>
          <w:lang w:eastAsia="en-US"/>
        </w:rPr>
        <w:t>schválením Akčního plánu pro </w:t>
      </w:r>
      <w:r w:rsidR="007376A7" w:rsidRPr="007376A7">
        <w:rPr>
          <w:rFonts w:ascii="Arial" w:hAnsi="Arial" w:cs="Arial"/>
          <w:sz w:val="20"/>
          <w:szCs w:val="20"/>
          <w:lang w:eastAsia="en-US"/>
        </w:rPr>
        <w:t>inkluzivní vzdělávání na roky 2016 - 2018. Tento</w:t>
      </w:r>
      <w:r w:rsidR="00443990">
        <w:rPr>
          <w:rFonts w:ascii="Arial" w:hAnsi="Arial" w:cs="Arial"/>
          <w:sz w:val="20"/>
          <w:szCs w:val="20"/>
          <w:lang w:eastAsia="en-US"/>
        </w:rPr>
        <w:t> </w:t>
      </w:r>
      <w:r w:rsidR="007376A7" w:rsidRPr="007376A7">
        <w:rPr>
          <w:rFonts w:ascii="Arial" w:hAnsi="Arial" w:cs="Arial"/>
          <w:sz w:val="20"/>
          <w:szCs w:val="20"/>
          <w:lang w:eastAsia="en-US"/>
        </w:rPr>
        <w:t xml:space="preserve">dokument byl již formálně zaslán EK </w:t>
      </w:r>
      <w:r w:rsidR="007376A7" w:rsidRPr="0082540E">
        <w:rPr>
          <w:rFonts w:ascii="Arial" w:hAnsi="Arial" w:cs="Arial"/>
          <w:i/>
          <w:sz w:val="20"/>
          <w:szCs w:val="20"/>
          <w:lang w:eastAsia="en-US"/>
        </w:rPr>
        <w:t>k</w:t>
      </w:r>
      <w:r w:rsidR="00CA4BDA" w:rsidRPr="0082540E">
        <w:rPr>
          <w:rFonts w:ascii="Arial" w:hAnsi="Arial" w:cs="Arial"/>
          <w:i/>
          <w:sz w:val="20"/>
          <w:szCs w:val="20"/>
          <w:lang w:eastAsia="en-US"/>
        </w:rPr>
        <w:t xml:space="preserve"> formální </w:t>
      </w:r>
      <w:r w:rsidR="007376A7" w:rsidRPr="0082540E">
        <w:rPr>
          <w:rFonts w:ascii="Arial" w:hAnsi="Arial" w:cs="Arial"/>
          <w:i/>
          <w:sz w:val="20"/>
          <w:szCs w:val="20"/>
          <w:lang w:eastAsia="en-US"/>
        </w:rPr>
        <w:t>verifikaci přes systém SFC</w:t>
      </w:r>
      <w:r w:rsidR="00CA4BDA">
        <w:rPr>
          <w:rFonts w:ascii="Arial" w:hAnsi="Arial" w:cs="Arial"/>
          <w:sz w:val="20"/>
          <w:szCs w:val="20"/>
          <w:lang w:eastAsia="en-US"/>
        </w:rPr>
        <w:t>.</w:t>
      </w:r>
      <w:r w:rsidR="0077750A" w:rsidRPr="0077750A">
        <w:rPr>
          <w:rFonts w:ascii="Arial" w:hAnsi="Arial" w:cs="Arial"/>
          <w:sz w:val="20"/>
          <w:szCs w:val="20"/>
          <w:lang w:eastAsia="en-US"/>
        </w:rPr>
        <w:t xml:space="preserve"> </w:t>
      </w:r>
    </w:p>
    <w:p w:rsidR="00781951" w:rsidRDefault="00A92161" w:rsidP="00143B70">
      <w:pPr>
        <w:spacing w:before="0" w:after="240"/>
        <w:contextualSpacing/>
        <w:rPr>
          <w:rFonts w:ascii="Arial" w:hAnsi="Arial" w:cs="Arial"/>
          <w:sz w:val="20"/>
          <w:szCs w:val="20"/>
        </w:rPr>
      </w:pPr>
      <w:r>
        <w:rPr>
          <w:rFonts w:ascii="Arial" w:hAnsi="Arial" w:cs="Arial"/>
          <w:sz w:val="20"/>
          <w:szCs w:val="20"/>
          <w:lang w:eastAsia="en-US"/>
        </w:rPr>
        <w:lastRenderedPageBreak/>
        <w:t xml:space="preserve">Dále </w:t>
      </w:r>
      <w:r w:rsidR="00C00AA2">
        <w:rPr>
          <w:rFonts w:ascii="Arial" w:hAnsi="Arial" w:cs="Arial"/>
          <w:sz w:val="20"/>
          <w:szCs w:val="20"/>
          <w:lang w:eastAsia="en-US"/>
        </w:rPr>
        <w:t xml:space="preserve">dokumenty týkající </w:t>
      </w:r>
      <w:r w:rsidR="00443990">
        <w:rPr>
          <w:rFonts w:ascii="Arial" w:hAnsi="Arial" w:cs="Arial"/>
          <w:sz w:val="20"/>
          <w:szCs w:val="20"/>
          <w:lang w:eastAsia="en-US"/>
        </w:rPr>
        <w:t>p</w:t>
      </w:r>
      <w:r w:rsidR="0077750A">
        <w:rPr>
          <w:rFonts w:ascii="Arial" w:hAnsi="Arial" w:cs="Arial"/>
          <w:sz w:val="20"/>
          <w:szCs w:val="20"/>
          <w:lang w:eastAsia="en-US"/>
        </w:rPr>
        <w:t>ředběžn</w:t>
      </w:r>
      <w:r w:rsidR="00C00AA2">
        <w:rPr>
          <w:rFonts w:ascii="Arial" w:hAnsi="Arial" w:cs="Arial"/>
          <w:sz w:val="20"/>
          <w:szCs w:val="20"/>
          <w:lang w:eastAsia="en-US"/>
        </w:rPr>
        <w:t>é</w:t>
      </w:r>
      <w:r w:rsidR="0077750A">
        <w:rPr>
          <w:rFonts w:ascii="Arial" w:hAnsi="Arial" w:cs="Arial"/>
          <w:sz w:val="20"/>
          <w:szCs w:val="20"/>
          <w:lang w:eastAsia="en-US"/>
        </w:rPr>
        <w:t xml:space="preserve"> podmín</w:t>
      </w:r>
      <w:r w:rsidR="00C00AA2">
        <w:rPr>
          <w:rFonts w:ascii="Arial" w:hAnsi="Arial" w:cs="Arial"/>
          <w:sz w:val="20"/>
          <w:szCs w:val="20"/>
          <w:lang w:eastAsia="en-US"/>
        </w:rPr>
        <w:t>ky</w:t>
      </w:r>
      <w:r w:rsidR="0077750A">
        <w:rPr>
          <w:rFonts w:ascii="Arial" w:hAnsi="Arial" w:cs="Arial"/>
          <w:sz w:val="20"/>
          <w:szCs w:val="20"/>
          <w:lang w:eastAsia="en-US"/>
        </w:rPr>
        <w:t xml:space="preserve"> </w:t>
      </w:r>
      <w:r w:rsidR="0077750A" w:rsidRPr="00143B70">
        <w:rPr>
          <w:rFonts w:ascii="Arial" w:hAnsi="Arial" w:cs="Arial"/>
          <w:b/>
          <w:sz w:val="20"/>
          <w:szCs w:val="20"/>
          <w:lang w:eastAsia="en-US"/>
        </w:rPr>
        <w:t>2.1 Digitální růst</w:t>
      </w:r>
      <w:r>
        <w:rPr>
          <w:rFonts w:ascii="Arial" w:hAnsi="Arial" w:cs="Arial"/>
          <w:b/>
          <w:sz w:val="20"/>
          <w:szCs w:val="20"/>
          <w:lang w:eastAsia="en-US"/>
        </w:rPr>
        <w:t xml:space="preserve">, </w:t>
      </w:r>
      <w:r w:rsidRPr="0082540E">
        <w:rPr>
          <w:rFonts w:ascii="Arial" w:hAnsi="Arial" w:cs="Arial"/>
          <w:sz w:val="20"/>
          <w:szCs w:val="20"/>
          <w:lang w:eastAsia="en-US"/>
        </w:rPr>
        <w:t>která</w:t>
      </w:r>
      <w:r>
        <w:rPr>
          <w:rFonts w:ascii="Arial" w:hAnsi="Arial" w:cs="Arial"/>
          <w:b/>
          <w:sz w:val="20"/>
          <w:szCs w:val="20"/>
          <w:lang w:eastAsia="en-US"/>
        </w:rPr>
        <w:t xml:space="preserve"> </w:t>
      </w:r>
      <w:r w:rsidR="0077750A">
        <w:rPr>
          <w:rFonts w:ascii="Arial" w:hAnsi="Arial" w:cs="Arial"/>
          <w:sz w:val="20"/>
          <w:szCs w:val="20"/>
          <w:lang w:eastAsia="en-US"/>
        </w:rPr>
        <w:t>byla splněna</w:t>
      </w:r>
      <w:r w:rsidR="0077750A" w:rsidRPr="007376A7">
        <w:rPr>
          <w:rFonts w:ascii="Arial" w:hAnsi="Arial" w:cs="Arial"/>
          <w:sz w:val="20"/>
          <w:szCs w:val="20"/>
          <w:lang w:eastAsia="en-US"/>
        </w:rPr>
        <w:t xml:space="preserve"> schválením materiálu Strategie digitální gramotnosti ČR na období 2015 – 2020</w:t>
      </w:r>
      <w:r>
        <w:rPr>
          <w:rFonts w:ascii="Arial" w:hAnsi="Arial" w:cs="Arial"/>
          <w:sz w:val="20"/>
          <w:szCs w:val="20"/>
          <w:lang w:eastAsia="en-US"/>
        </w:rPr>
        <w:t xml:space="preserve"> a r</w:t>
      </w:r>
      <w:r w:rsidR="007376A7" w:rsidRPr="007376A7">
        <w:rPr>
          <w:rFonts w:ascii="Arial" w:hAnsi="Arial" w:cs="Arial"/>
          <w:sz w:val="20"/>
          <w:szCs w:val="20"/>
          <w:lang w:eastAsia="en-US"/>
        </w:rPr>
        <w:t>ovněž předběžn</w:t>
      </w:r>
      <w:r w:rsidR="00C00AA2">
        <w:rPr>
          <w:rFonts w:ascii="Arial" w:hAnsi="Arial" w:cs="Arial"/>
          <w:sz w:val="20"/>
          <w:szCs w:val="20"/>
          <w:lang w:eastAsia="en-US"/>
        </w:rPr>
        <w:t>é</w:t>
      </w:r>
      <w:r w:rsidR="007376A7" w:rsidRPr="007376A7">
        <w:rPr>
          <w:rFonts w:ascii="Arial" w:hAnsi="Arial" w:cs="Arial"/>
          <w:sz w:val="20"/>
          <w:szCs w:val="20"/>
          <w:lang w:eastAsia="en-US"/>
        </w:rPr>
        <w:t xml:space="preserve"> podmínk</w:t>
      </w:r>
      <w:r w:rsidR="00C00AA2">
        <w:rPr>
          <w:rFonts w:ascii="Arial" w:hAnsi="Arial" w:cs="Arial"/>
          <w:sz w:val="20"/>
          <w:szCs w:val="20"/>
          <w:lang w:eastAsia="en-US"/>
        </w:rPr>
        <w:t>y</w:t>
      </w:r>
      <w:r w:rsidR="007376A7" w:rsidRPr="007376A7">
        <w:rPr>
          <w:rFonts w:ascii="Arial" w:hAnsi="Arial" w:cs="Arial"/>
          <w:sz w:val="20"/>
          <w:szCs w:val="20"/>
          <w:lang w:eastAsia="en-US"/>
        </w:rPr>
        <w:t xml:space="preserve"> </w:t>
      </w:r>
      <w:r w:rsidR="007376A7" w:rsidRPr="00143B70">
        <w:rPr>
          <w:rFonts w:ascii="Arial" w:hAnsi="Arial" w:cs="Arial"/>
          <w:b/>
          <w:sz w:val="20"/>
          <w:szCs w:val="20"/>
          <w:lang w:eastAsia="en-US"/>
        </w:rPr>
        <w:t>9.3</w:t>
      </w:r>
      <w:r w:rsidR="00443990">
        <w:rPr>
          <w:rFonts w:ascii="Arial" w:hAnsi="Arial" w:cs="Arial"/>
          <w:b/>
          <w:sz w:val="20"/>
          <w:szCs w:val="20"/>
          <w:lang w:eastAsia="en-US"/>
        </w:rPr>
        <w:t> </w:t>
      </w:r>
      <w:r w:rsidR="007376A7" w:rsidRPr="00143B70">
        <w:rPr>
          <w:rFonts w:ascii="Arial" w:hAnsi="Arial" w:cs="Arial"/>
          <w:b/>
          <w:sz w:val="20"/>
          <w:szCs w:val="20"/>
          <w:lang w:eastAsia="en-US"/>
        </w:rPr>
        <w:t>Zdraví</w:t>
      </w:r>
      <w:r w:rsidR="00DE38C7">
        <w:rPr>
          <w:rFonts w:ascii="Arial" w:hAnsi="Arial" w:cs="Arial"/>
          <w:b/>
          <w:sz w:val="20"/>
          <w:szCs w:val="20"/>
          <w:lang w:eastAsia="en-US"/>
        </w:rPr>
        <w:t xml:space="preserve">, </w:t>
      </w:r>
      <w:r w:rsidR="00DE38C7" w:rsidRPr="0082540E">
        <w:rPr>
          <w:rFonts w:ascii="Arial" w:hAnsi="Arial" w:cs="Arial"/>
          <w:sz w:val="20"/>
          <w:szCs w:val="20"/>
          <w:lang w:eastAsia="en-US"/>
        </w:rPr>
        <w:t>která</w:t>
      </w:r>
      <w:r w:rsidR="007376A7" w:rsidRPr="007376A7">
        <w:rPr>
          <w:rFonts w:ascii="Arial" w:hAnsi="Arial" w:cs="Arial"/>
          <w:sz w:val="20"/>
          <w:szCs w:val="20"/>
          <w:lang w:eastAsia="en-US"/>
        </w:rPr>
        <w:t xml:space="preserve"> je na národní úrovni vykazována jako splněná ode dne 20. srpna 2015</w:t>
      </w:r>
      <w:r w:rsidR="007C52E1">
        <w:rPr>
          <w:rFonts w:ascii="Arial" w:hAnsi="Arial" w:cs="Arial"/>
          <w:sz w:val="20"/>
          <w:szCs w:val="20"/>
          <w:lang w:eastAsia="en-US"/>
        </w:rPr>
        <w:t>, kdy vláda ČR vzala na vědomí</w:t>
      </w:r>
      <w:r w:rsidR="00851225">
        <w:rPr>
          <w:rFonts w:ascii="Arial" w:hAnsi="Arial" w:cs="Arial"/>
          <w:sz w:val="20"/>
          <w:szCs w:val="20"/>
          <w:lang w:eastAsia="en-US"/>
        </w:rPr>
        <w:t xml:space="preserve"> </w:t>
      </w:r>
      <w:r w:rsidR="00851225" w:rsidRPr="00851225">
        <w:rPr>
          <w:rFonts w:ascii="Arial" w:hAnsi="Arial" w:cs="Arial"/>
          <w:sz w:val="20"/>
          <w:szCs w:val="20"/>
        </w:rPr>
        <w:t>Akční plány vztahující se k dokumentu Zdraví 2020</w:t>
      </w:r>
      <w:r w:rsidR="00C00AA2">
        <w:rPr>
          <w:rFonts w:ascii="Arial" w:hAnsi="Arial" w:cs="Arial"/>
          <w:sz w:val="20"/>
          <w:szCs w:val="20"/>
        </w:rPr>
        <w:t xml:space="preserve"> (tyto byly</w:t>
      </w:r>
      <w:r w:rsidR="00C00AA2" w:rsidRPr="00C00AA2">
        <w:rPr>
          <w:rFonts w:ascii="Arial" w:hAnsi="Arial" w:cs="Arial"/>
          <w:sz w:val="20"/>
          <w:szCs w:val="20"/>
        </w:rPr>
        <w:t xml:space="preserve"> </w:t>
      </w:r>
      <w:r w:rsidR="00C00AA2" w:rsidRPr="00851225">
        <w:rPr>
          <w:rFonts w:ascii="Arial" w:hAnsi="Arial" w:cs="Arial"/>
          <w:sz w:val="20"/>
          <w:szCs w:val="20"/>
        </w:rPr>
        <w:t>na EK zaslány d</w:t>
      </w:r>
      <w:r w:rsidR="00C00AA2">
        <w:rPr>
          <w:rFonts w:ascii="Arial" w:hAnsi="Arial" w:cs="Arial"/>
          <w:sz w:val="20"/>
          <w:szCs w:val="20"/>
        </w:rPr>
        <w:t xml:space="preserve">ne 3. listopadu </w:t>
      </w:r>
      <w:r w:rsidR="00C00AA2" w:rsidRPr="00851225">
        <w:rPr>
          <w:rFonts w:ascii="Arial" w:hAnsi="Arial" w:cs="Arial"/>
          <w:sz w:val="20"/>
          <w:szCs w:val="20"/>
        </w:rPr>
        <w:t>2015</w:t>
      </w:r>
      <w:r w:rsidR="00C00AA2">
        <w:rPr>
          <w:rFonts w:ascii="Arial" w:hAnsi="Arial" w:cs="Arial"/>
          <w:sz w:val="20"/>
          <w:szCs w:val="20"/>
        </w:rPr>
        <w:t>)</w:t>
      </w:r>
      <w:r w:rsidR="007C52E1">
        <w:rPr>
          <w:rFonts w:ascii="Arial" w:hAnsi="Arial" w:cs="Arial"/>
          <w:sz w:val="20"/>
          <w:szCs w:val="20"/>
        </w:rPr>
        <w:t xml:space="preserve">, </w:t>
      </w:r>
      <w:r w:rsidR="00C00AA2" w:rsidRPr="0082540E">
        <w:rPr>
          <w:rFonts w:ascii="Arial" w:hAnsi="Arial" w:cs="Arial"/>
          <w:i/>
          <w:sz w:val="20"/>
          <w:szCs w:val="20"/>
        </w:rPr>
        <w:t xml:space="preserve">budou </w:t>
      </w:r>
      <w:r w:rsidR="007C52E1" w:rsidRPr="0082540E">
        <w:rPr>
          <w:rFonts w:ascii="Arial" w:hAnsi="Arial" w:cs="Arial"/>
          <w:i/>
          <w:sz w:val="20"/>
          <w:szCs w:val="20"/>
        </w:rPr>
        <w:t xml:space="preserve">v průběhu listopadu </w:t>
      </w:r>
      <w:r w:rsidR="00C00AA2" w:rsidRPr="0082540E">
        <w:rPr>
          <w:rFonts w:ascii="Arial" w:hAnsi="Arial" w:cs="Arial"/>
          <w:i/>
          <w:sz w:val="20"/>
          <w:szCs w:val="20"/>
        </w:rPr>
        <w:t>formálně předloženy EK</w:t>
      </w:r>
      <w:r w:rsidR="007C52E1">
        <w:rPr>
          <w:rFonts w:ascii="Arial" w:hAnsi="Arial" w:cs="Arial"/>
          <w:sz w:val="20"/>
          <w:szCs w:val="20"/>
        </w:rPr>
        <w:t xml:space="preserve"> </w:t>
      </w:r>
    </w:p>
    <w:p w:rsidR="007376A7" w:rsidRDefault="007376A7" w:rsidP="00143B70">
      <w:pPr>
        <w:spacing w:before="0" w:after="240"/>
        <w:contextualSpacing/>
        <w:rPr>
          <w:rFonts w:ascii="Arial" w:hAnsi="Arial" w:cs="Arial"/>
          <w:sz w:val="20"/>
          <w:szCs w:val="20"/>
          <w:lang w:eastAsia="en-US"/>
        </w:rPr>
      </w:pPr>
      <w:r w:rsidRPr="007376A7">
        <w:rPr>
          <w:rFonts w:ascii="Arial" w:hAnsi="Arial" w:cs="Arial"/>
          <w:sz w:val="20"/>
          <w:szCs w:val="20"/>
          <w:lang w:eastAsia="en-US"/>
        </w:rPr>
        <w:t xml:space="preserve">Dále pak i předběžná podmínka </w:t>
      </w:r>
      <w:r w:rsidRPr="00143B70">
        <w:rPr>
          <w:rFonts w:ascii="Arial" w:hAnsi="Arial" w:cs="Arial"/>
          <w:b/>
          <w:sz w:val="20"/>
          <w:szCs w:val="20"/>
          <w:lang w:eastAsia="en-US"/>
        </w:rPr>
        <w:t>1.1. Výzkum a Vývoj</w:t>
      </w:r>
      <w:r w:rsidR="00143B70">
        <w:rPr>
          <w:rFonts w:ascii="Arial" w:hAnsi="Arial" w:cs="Arial"/>
          <w:b/>
          <w:sz w:val="20"/>
          <w:szCs w:val="20"/>
          <w:lang w:eastAsia="en-US"/>
        </w:rPr>
        <w:t xml:space="preserve"> – inteligentní specializace</w:t>
      </w:r>
      <w:r w:rsidRPr="00143B70">
        <w:rPr>
          <w:rFonts w:ascii="Arial" w:hAnsi="Arial" w:cs="Arial"/>
          <w:b/>
          <w:sz w:val="20"/>
          <w:szCs w:val="20"/>
          <w:lang w:eastAsia="en-US"/>
        </w:rPr>
        <w:t xml:space="preserve"> </w:t>
      </w:r>
      <w:r w:rsidRPr="007376A7">
        <w:rPr>
          <w:rFonts w:ascii="Arial" w:hAnsi="Arial" w:cs="Arial"/>
          <w:sz w:val="20"/>
          <w:szCs w:val="20"/>
          <w:lang w:eastAsia="en-US"/>
        </w:rPr>
        <w:t>byla deklarována jako splněná</w:t>
      </w:r>
      <w:r w:rsidR="00693CA9">
        <w:rPr>
          <w:rFonts w:ascii="Arial" w:hAnsi="Arial" w:cs="Arial"/>
          <w:sz w:val="20"/>
          <w:szCs w:val="20"/>
          <w:lang w:eastAsia="en-US"/>
        </w:rPr>
        <w:t xml:space="preserve"> na národní úrovni</w:t>
      </w:r>
      <w:r w:rsidR="00143B70">
        <w:rPr>
          <w:rFonts w:ascii="Arial" w:hAnsi="Arial" w:cs="Arial"/>
          <w:sz w:val="20"/>
          <w:szCs w:val="20"/>
          <w:lang w:eastAsia="en-US"/>
        </w:rPr>
        <w:t>,</w:t>
      </w:r>
      <w:r w:rsidRPr="007376A7">
        <w:rPr>
          <w:rFonts w:ascii="Arial" w:hAnsi="Arial" w:cs="Arial"/>
          <w:sz w:val="20"/>
          <w:szCs w:val="20"/>
          <w:lang w:eastAsia="en-US"/>
        </w:rPr>
        <w:t xml:space="preserve"> </w:t>
      </w:r>
      <w:r w:rsidR="00143B70">
        <w:rPr>
          <w:rFonts w:ascii="Arial" w:hAnsi="Arial" w:cs="Arial"/>
          <w:sz w:val="20"/>
          <w:szCs w:val="20"/>
          <w:lang w:eastAsia="en-US"/>
        </w:rPr>
        <w:t>a </w:t>
      </w:r>
      <w:r>
        <w:rPr>
          <w:rFonts w:ascii="Arial" w:hAnsi="Arial" w:cs="Arial"/>
          <w:sz w:val="20"/>
          <w:szCs w:val="20"/>
          <w:lang w:eastAsia="en-US"/>
        </w:rPr>
        <w:t xml:space="preserve">to dopracováním Národní RIS 3 strategie. </w:t>
      </w:r>
      <w:r w:rsidR="000926A5">
        <w:rPr>
          <w:rFonts w:ascii="Arial" w:hAnsi="Arial" w:cs="Arial"/>
          <w:sz w:val="20"/>
          <w:szCs w:val="20"/>
          <w:lang w:eastAsia="en-US"/>
        </w:rPr>
        <w:t>Národní RIS 3 strategie byla zaslána na EK a v</w:t>
      </w:r>
      <w:r w:rsidRPr="007376A7">
        <w:rPr>
          <w:rFonts w:ascii="Arial" w:hAnsi="Arial" w:cs="Arial"/>
          <w:sz w:val="20"/>
          <w:szCs w:val="20"/>
          <w:lang w:eastAsia="en-US"/>
        </w:rPr>
        <w:t xml:space="preserve"> tuto chvíli probíhá intenzivní </w:t>
      </w:r>
      <w:r w:rsidR="000926A5" w:rsidRPr="0082540E">
        <w:rPr>
          <w:rFonts w:ascii="Arial" w:hAnsi="Arial" w:cs="Arial"/>
          <w:i/>
          <w:sz w:val="20"/>
          <w:szCs w:val="20"/>
          <w:lang w:eastAsia="en-US"/>
        </w:rPr>
        <w:t xml:space="preserve">neformální </w:t>
      </w:r>
      <w:r w:rsidRPr="0082540E">
        <w:rPr>
          <w:rFonts w:ascii="Arial" w:hAnsi="Arial" w:cs="Arial"/>
          <w:i/>
          <w:sz w:val="20"/>
          <w:szCs w:val="20"/>
          <w:lang w:eastAsia="en-US"/>
        </w:rPr>
        <w:t>komunikace</w:t>
      </w:r>
      <w:r w:rsidRPr="007376A7">
        <w:rPr>
          <w:rFonts w:ascii="Arial" w:hAnsi="Arial" w:cs="Arial"/>
          <w:sz w:val="20"/>
          <w:szCs w:val="20"/>
          <w:lang w:eastAsia="en-US"/>
        </w:rPr>
        <w:t xml:space="preserve"> s EK.</w:t>
      </w:r>
    </w:p>
    <w:p w:rsidR="001C7D8A" w:rsidRDefault="001C7D8A" w:rsidP="00143B70">
      <w:pPr>
        <w:spacing w:before="0" w:after="240"/>
        <w:contextualSpacing/>
        <w:rPr>
          <w:rFonts w:ascii="Arial" w:hAnsi="Arial" w:cs="Arial"/>
          <w:color w:val="000000"/>
          <w:sz w:val="20"/>
        </w:rPr>
      </w:pPr>
      <w:r>
        <w:rPr>
          <w:rFonts w:ascii="Arial" w:hAnsi="Arial" w:cs="Arial"/>
          <w:sz w:val="20"/>
          <w:szCs w:val="20"/>
          <w:lang w:eastAsia="en-US"/>
        </w:rPr>
        <w:t xml:space="preserve">Na národní úrovni lze považovat za splněnou i předběžnou podmínku </w:t>
      </w:r>
      <w:r w:rsidRPr="00443990">
        <w:rPr>
          <w:rFonts w:ascii="Arial" w:hAnsi="Arial" w:cs="Arial"/>
          <w:b/>
          <w:sz w:val="20"/>
          <w:szCs w:val="20"/>
          <w:lang w:eastAsia="en-US"/>
        </w:rPr>
        <w:t>8.5 Pomoc pra</w:t>
      </w:r>
      <w:r w:rsidR="00980076" w:rsidRPr="00443990">
        <w:rPr>
          <w:rFonts w:ascii="Arial" w:hAnsi="Arial" w:cs="Arial"/>
          <w:b/>
          <w:sz w:val="20"/>
          <w:szCs w:val="20"/>
          <w:lang w:eastAsia="en-US"/>
        </w:rPr>
        <w:t>covníkům, podnikům a podnikatelům</w:t>
      </w:r>
      <w:r w:rsidR="00980076">
        <w:rPr>
          <w:rFonts w:ascii="Arial" w:hAnsi="Arial" w:cs="Arial"/>
          <w:sz w:val="20"/>
          <w:szCs w:val="20"/>
          <w:lang w:eastAsia="en-US"/>
        </w:rPr>
        <w:t xml:space="preserve">, která byla splněna </w:t>
      </w:r>
      <w:r w:rsidR="00980076">
        <w:rPr>
          <w:rFonts w:ascii="Arial" w:hAnsi="Arial" w:cs="Arial"/>
          <w:color w:val="000000"/>
          <w:sz w:val="20"/>
        </w:rPr>
        <w:t>realizací  projektu Předvídání kvalifikačních potřeb (PŘEKVAP).</w:t>
      </w:r>
    </w:p>
    <w:p w:rsidR="001005D5" w:rsidRDefault="001005D5" w:rsidP="00143B70">
      <w:pPr>
        <w:spacing w:before="0" w:after="240"/>
        <w:contextualSpacing/>
        <w:rPr>
          <w:rFonts w:ascii="Arial" w:hAnsi="Arial" w:cs="Arial"/>
          <w:sz w:val="20"/>
          <w:szCs w:val="20"/>
          <w:lang w:eastAsia="en-US"/>
        </w:rPr>
      </w:pPr>
    </w:p>
    <w:p w:rsidR="0031329F" w:rsidRPr="0031329F" w:rsidRDefault="000926A5" w:rsidP="00143B70">
      <w:pPr>
        <w:spacing w:before="0" w:after="240"/>
        <w:contextualSpacing/>
        <w:rPr>
          <w:rFonts w:ascii="Arial" w:hAnsi="Arial" w:cs="Arial"/>
          <w:sz w:val="20"/>
          <w:szCs w:val="20"/>
          <w:lang w:eastAsia="en-US"/>
        </w:rPr>
      </w:pPr>
      <w:r w:rsidRPr="008347D2">
        <w:rPr>
          <w:rFonts w:ascii="Arial" w:hAnsi="Arial" w:cs="Arial"/>
          <w:sz w:val="20"/>
          <w:szCs w:val="20"/>
          <w:lang w:eastAsia="en-US"/>
        </w:rPr>
        <w:t>Co se týká kritérií předběžných podmínek, došlo k pozitivním p</w:t>
      </w:r>
      <w:r>
        <w:rPr>
          <w:rFonts w:ascii="Arial" w:hAnsi="Arial" w:cs="Arial"/>
          <w:sz w:val="20"/>
          <w:szCs w:val="20"/>
          <w:lang w:eastAsia="en-US"/>
        </w:rPr>
        <w:t xml:space="preserve">osunům u </w:t>
      </w:r>
      <w:r w:rsidR="00FA7710">
        <w:rPr>
          <w:rFonts w:ascii="Arial" w:hAnsi="Arial" w:cs="Arial"/>
          <w:sz w:val="20"/>
          <w:szCs w:val="20"/>
          <w:lang w:eastAsia="en-US"/>
        </w:rPr>
        <w:t xml:space="preserve">několika </w:t>
      </w:r>
      <w:r>
        <w:rPr>
          <w:rFonts w:ascii="Arial" w:hAnsi="Arial" w:cs="Arial"/>
          <w:sz w:val="20"/>
          <w:szCs w:val="20"/>
          <w:lang w:eastAsia="en-US"/>
        </w:rPr>
        <w:t>předběžných podmínek</w:t>
      </w:r>
      <w:r w:rsidR="00FA7710">
        <w:rPr>
          <w:rFonts w:ascii="Arial" w:hAnsi="Arial" w:cs="Arial"/>
          <w:sz w:val="20"/>
          <w:szCs w:val="20"/>
          <w:lang w:eastAsia="en-US"/>
        </w:rPr>
        <w:t xml:space="preserve">. </w:t>
      </w:r>
      <w:r w:rsidR="003A40E6">
        <w:rPr>
          <w:rFonts w:ascii="Arial" w:hAnsi="Arial" w:cs="Arial"/>
          <w:sz w:val="20"/>
          <w:szCs w:val="20"/>
          <w:lang w:eastAsia="en-US"/>
        </w:rPr>
        <w:t>U předběžné podmínky</w:t>
      </w:r>
      <w:r w:rsidR="00FA7710">
        <w:rPr>
          <w:rFonts w:ascii="Arial" w:hAnsi="Arial" w:cs="Arial"/>
          <w:sz w:val="20"/>
          <w:szCs w:val="20"/>
          <w:lang w:eastAsia="en-US"/>
        </w:rPr>
        <w:t xml:space="preserve"> </w:t>
      </w:r>
      <w:r w:rsidRPr="00143B70">
        <w:rPr>
          <w:rFonts w:ascii="Arial" w:hAnsi="Arial" w:cs="Arial"/>
          <w:b/>
          <w:sz w:val="20"/>
          <w:szCs w:val="20"/>
          <w:lang w:eastAsia="en-US"/>
        </w:rPr>
        <w:t>4.1 Energetická účinnost</w:t>
      </w:r>
      <w:r w:rsidR="003A40E6">
        <w:rPr>
          <w:rFonts w:ascii="Arial" w:hAnsi="Arial" w:cs="Arial"/>
          <w:b/>
          <w:sz w:val="20"/>
          <w:szCs w:val="20"/>
          <w:lang w:eastAsia="en-US"/>
        </w:rPr>
        <w:t xml:space="preserve"> </w:t>
      </w:r>
      <w:r w:rsidR="003A40E6" w:rsidRPr="0082540E">
        <w:rPr>
          <w:rFonts w:ascii="Arial" w:hAnsi="Arial" w:cs="Arial"/>
          <w:sz w:val="20"/>
          <w:szCs w:val="20"/>
          <w:lang w:eastAsia="en-US"/>
        </w:rPr>
        <w:t xml:space="preserve">se jedná o </w:t>
      </w:r>
      <w:r w:rsidR="003A40E6" w:rsidRPr="003A40E6">
        <w:rPr>
          <w:rFonts w:ascii="Arial" w:hAnsi="Arial" w:cs="Arial"/>
          <w:sz w:val="20"/>
          <w:szCs w:val="20"/>
          <w:lang w:eastAsia="en-US"/>
        </w:rPr>
        <w:t>napl</w:t>
      </w:r>
      <w:r w:rsidR="003A40E6" w:rsidRPr="0082540E">
        <w:rPr>
          <w:rFonts w:ascii="Arial" w:hAnsi="Arial" w:cs="Arial"/>
          <w:sz w:val="20"/>
          <w:szCs w:val="20"/>
          <w:lang w:eastAsia="en-US"/>
        </w:rPr>
        <w:t>n</w:t>
      </w:r>
      <w:r w:rsidR="003A40E6">
        <w:rPr>
          <w:rFonts w:ascii="Arial" w:hAnsi="Arial" w:cs="Arial"/>
          <w:sz w:val="20"/>
          <w:szCs w:val="20"/>
          <w:lang w:eastAsia="en-US"/>
        </w:rPr>
        <w:t>ě</w:t>
      </w:r>
      <w:r w:rsidR="003A40E6" w:rsidRPr="0082540E">
        <w:rPr>
          <w:rFonts w:ascii="Arial" w:hAnsi="Arial" w:cs="Arial"/>
          <w:sz w:val="20"/>
          <w:szCs w:val="20"/>
          <w:lang w:eastAsia="en-US"/>
        </w:rPr>
        <w:t>ní 4 kritérií</w:t>
      </w:r>
      <w:r w:rsidR="003A40E6">
        <w:rPr>
          <w:rFonts w:ascii="Arial" w:hAnsi="Arial" w:cs="Arial"/>
          <w:sz w:val="20"/>
          <w:szCs w:val="20"/>
          <w:lang w:eastAsia="en-US"/>
        </w:rPr>
        <w:t>. Nicméně</w:t>
      </w:r>
      <w:r w:rsidR="00443990">
        <w:rPr>
          <w:rFonts w:ascii="Arial" w:hAnsi="Arial" w:cs="Arial"/>
          <w:sz w:val="20"/>
          <w:szCs w:val="20"/>
          <w:lang w:eastAsia="en-US"/>
        </w:rPr>
        <w:t> </w:t>
      </w:r>
      <w:r w:rsidR="00FE0A86">
        <w:rPr>
          <w:rFonts w:ascii="Arial" w:hAnsi="Arial" w:cs="Arial"/>
          <w:sz w:val="20"/>
          <w:szCs w:val="20"/>
          <w:lang w:eastAsia="en-US"/>
        </w:rPr>
        <w:t>je zde třeba uvést, že i když koncem září bylo zastaveno řízení o porušení smlouvy č.</w:t>
      </w:r>
      <w:r w:rsidR="00443990">
        <w:rPr>
          <w:rFonts w:ascii="Arial" w:hAnsi="Arial" w:cs="Arial"/>
          <w:sz w:val="20"/>
          <w:szCs w:val="20"/>
          <w:lang w:eastAsia="en-US"/>
        </w:rPr>
        <w:t> </w:t>
      </w:r>
      <w:r w:rsidR="00FE0A86">
        <w:rPr>
          <w:rFonts w:ascii="Arial" w:hAnsi="Arial" w:cs="Arial"/>
          <w:sz w:val="20"/>
          <w:szCs w:val="20"/>
          <w:lang w:eastAsia="en-US"/>
        </w:rPr>
        <w:t xml:space="preserve">2012/0335, řízení č. 2014/0317 bylo posunuto do fáze odůvodněného stanoviska. U předběžné podmínky </w:t>
      </w:r>
      <w:r w:rsidR="00FE0A86">
        <w:rPr>
          <w:rFonts w:ascii="Arial" w:hAnsi="Arial" w:cs="Arial"/>
          <w:b/>
          <w:sz w:val="20"/>
          <w:szCs w:val="20"/>
          <w:lang w:eastAsia="en-US"/>
        </w:rPr>
        <w:t>1</w:t>
      </w:r>
      <w:r w:rsidRPr="00143B70">
        <w:rPr>
          <w:rFonts w:ascii="Arial" w:hAnsi="Arial" w:cs="Arial"/>
          <w:b/>
          <w:sz w:val="20"/>
          <w:szCs w:val="20"/>
          <w:lang w:eastAsia="en-US"/>
        </w:rPr>
        <w:t>1 Veřejná správa</w:t>
      </w:r>
      <w:r w:rsidR="00FE0A86">
        <w:rPr>
          <w:rFonts w:ascii="Arial" w:hAnsi="Arial" w:cs="Arial"/>
          <w:b/>
          <w:sz w:val="20"/>
          <w:szCs w:val="20"/>
          <w:lang w:eastAsia="en-US"/>
        </w:rPr>
        <w:t xml:space="preserve"> </w:t>
      </w:r>
      <w:r w:rsidR="00FE0A86" w:rsidRPr="0082540E">
        <w:rPr>
          <w:rFonts w:ascii="Arial" w:hAnsi="Arial" w:cs="Arial"/>
          <w:sz w:val="20"/>
          <w:szCs w:val="20"/>
          <w:lang w:eastAsia="en-US"/>
        </w:rPr>
        <w:t xml:space="preserve">bylo </w:t>
      </w:r>
      <w:r w:rsidR="001C7D8A" w:rsidRPr="0082540E">
        <w:rPr>
          <w:rFonts w:ascii="Arial" w:hAnsi="Arial" w:cs="Arial"/>
          <w:sz w:val="20"/>
          <w:szCs w:val="20"/>
          <w:lang w:eastAsia="en-US"/>
        </w:rPr>
        <w:t xml:space="preserve">rovněž naplněno 1 kritérium. </w:t>
      </w:r>
      <w:r w:rsidR="0031329F" w:rsidRPr="0031329F">
        <w:rPr>
          <w:rFonts w:ascii="Arial" w:hAnsi="Arial" w:cs="Arial"/>
          <w:b/>
          <w:sz w:val="20"/>
          <w:szCs w:val="20"/>
          <w:lang w:eastAsia="en-US"/>
        </w:rPr>
        <w:t>Naplnění kritéria PP 7.2 Železniční doprava</w:t>
      </w:r>
      <w:r w:rsidR="0031329F" w:rsidRPr="0031329F">
        <w:rPr>
          <w:rFonts w:ascii="Arial" w:hAnsi="Arial" w:cs="Arial"/>
          <w:sz w:val="20"/>
          <w:szCs w:val="20"/>
          <w:lang w:eastAsia="en-US"/>
        </w:rPr>
        <w:t xml:space="preserve"> nastalo schválením dokumentu Koncepce veřejné dopravy na národní úrovni dne 15. června 2015 a tímto můžeme považovat PP za částečně splněnou.  </w:t>
      </w:r>
      <w:r w:rsidR="0031329F" w:rsidRPr="00F15E0A">
        <w:rPr>
          <w:rFonts w:ascii="Arial" w:hAnsi="Arial" w:cs="Arial"/>
          <w:sz w:val="20"/>
          <w:szCs w:val="20"/>
          <w:lang w:eastAsia="en-US"/>
        </w:rPr>
        <w:t xml:space="preserve">Koncepce veřejné dopravy </w:t>
      </w:r>
      <w:r w:rsidR="00851225">
        <w:rPr>
          <w:rFonts w:ascii="Arial" w:hAnsi="Arial" w:cs="Arial"/>
          <w:sz w:val="20"/>
          <w:szCs w:val="20"/>
          <w:lang w:eastAsia="en-US"/>
        </w:rPr>
        <w:t>byla</w:t>
      </w:r>
      <w:r w:rsidR="00851225" w:rsidRPr="00F15E0A">
        <w:rPr>
          <w:rFonts w:ascii="Arial" w:hAnsi="Arial" w:cs="Arial"/>
          <w:sz w:val="20"/>
          <w:szCs w:val="20"/>
          <w:lang w:eastAsia="en-US"/>
        </w:rPr>
        <w:t xml:space="preserve"> </w:t>
      </w:r>
      <w:r w:rsidR="0031329F" w:rsidRPr="00F15E0A">
        <w:rPr>
          <w:rFonts w:ascii="Arial" w:hAnsi="Arial" w:cs="Arial"/>
          <w:sz w:val="20"/>
          <w:szCs w:val="20"/>
          <w:lang w:eastAsia="en-US"/>
        </w:rPr>
        <w:t>EK zaslána v rámci druhé Čtvrtletní zprávy o stavu naplňování PP za období červen-srpen 2015</w:t>
      </w:r>
      <w:r>
        <w:rPr>
          <w:rFonts w:ascii="Arial" w:hAnsi="Arial" w:cs="Arial"/>
          <w:sz w:val="20"/>
          <w:szCs w:val="20"/>
          <w:lang w:eastAsia="en-US"/>
        </w:rPr>
        <w:t xml:space="preserve"> k neformálnímu posouzení</w:t>
      </w:r>
      <w:r w:rsidR="00F15E0A">
        <w:rPr>
          <w:rFonts w:ascii="Arial" w:hAnsi="Arial" w:cs="Arial"/>
          <w:sz w:val="20"/>
          <w:szCs w:val="20"/>
          <w:lang w:eastAsia="en-US"/>
        </w:rPr>
        <w:t>.</w:t>
      </w:r>
      <w:r w:rsidR="0031329F" w:rsidRPr="00F15E0A">
        <w:rPr>
          <w:rFonts w:ascii="Arial" w:hAnsi="Arial" w:cs="Arial"/>
          <w:sz w:val="20"/>
          <w:szCs w:val="20"/>
          <w:lang w:eastAsia="en-US"/>
        </w:rPr>
        <w:t xml:space="preserve"> </w:t>
      </w:r>
      <w:r w:rsidR="00075F76" w:rsidRPr="0082540E">
        <w:rPr>
          <w:rFonts w:ascii="Arial" w:hAnsi="Arial" w:cs="Arial"/>
          <w:sz w:val="20"/>
          <w:szCs w:val="20"/>
          <w:lang w:eastAsia="en-US"/>
        </w:rPr>
        <w:t xml:space="preserve">Ke splnění dalších kritérií </w:t>
      </w:r>
      <w:r w:rsidR="00175428" w:rsidRPr="0082540E">
        <w:rPr>
          <w:rFonts w:ascii="Arial" w:hAnsi="Arial" w:cs="Arial"/>
          <w:sz w:val="20"/>
          <w:szCs w:val="20"/>
          <w:lang w:eastAsia="en-US"/>
        </w:rPr>
        <w:t>probíhá intenzivní komunikace Ministerstva dopravy (MD)</w:t>
      </w:r>
      <w:r w:rsidR="00075F76" w:rsidRPr="0082540E">
        <w:rPr>
          <w:rFonts w:ascii="Arial" w:hAnsi="Arial" w:cs="Arial"/>
          <w:sz w:val="20"/>
          <w:szCs w:val="20"/>
          <w:lang w:eastAsia="en-US"/>
        </w:rPr>
        <w:t xml:space="preserve"> a MMR-NOK.</w:t>
      </w:r>
      <w:r w:rsidR="001C7D8A">
        <w:rPr>
          <w:rFonts w:ascii="Arial" w:hAnsi="Arial" w:cs="Arial"/>
          <w:sz w:val="20"/>
          <w:szCs w:val="20"/>
          <w:lang w:eastAsia="en-US"/>
        </w:rPr>
        <w:t xml:space="preserve"> Taktéž došlo k naplnění kritérií i obecných předběžných podmínek</w:t>
      </w:r>
      <w:r w:rsidR="006A693C">
        <w:rPr>
          <w:rFonts w:ascii="Arial" w:hAnsi="Arial" w:cs="Arial"/>
          <w:sz w:val="20"/>
          <w:szCs w:val="20"/>
          <w:lang w:eastAsia="en-US"/>
        </w:rPr>
        <w:t>,</w:t>
      </w:r>
      <w:r w:rsidR="001C7D8A">
        <w:rPr>
          <w:rFonts w:ascii="Arial" w:hAnsi="Arial" w:cs="Arial"/>
          <w:sz w:val="20"/>
          <w:szCs w:val="20"/>
          <w:lang w:eastAsia="en-US"/>
        </w:rPr>
        <w:t xml:space="preserve"> a to u</w:t>
      </w:r>
      <w:r w:rsidR="006A693C">
        <w:rPr>
          <w:rFonts w:ascii="Arial" w:hAnsi="Arial" w:cs="Arial"/>
          <w:sz w:val="20"/>
          <w:szCs w:val="20"/>
          <w:lang w:eastAsia="en-US"/>
        </w:rPr>
        <w:t> </w:t>
      </w:r>
      <w:r w:rsidR="001C7D8A" w:rsidRPr="0082540E">
        <w:rPr>
          <w:rFonts w:ascii="Arial" w:hAnsi="Arial" w:cs="Arial"/>
          <w:b/>
          <w:sz w:val="20"/>
          <w:szCs w:val="20"/>
          <w:lang w:eastAsia="en-US"/>
        </w:rPr>
        <w:t>O4 Veřejné</w:t>
      </w:r>
      <w:r w:rsidR="001C7D8A">
        <w:rPr>
          <w:rFonts w:ascii="Arial" w:hAnsi="Arial" w:cs="Arial"/>
          <w:sz w:val="20"/>
          <w:szCs w:val="20"/>
          <w:lang w:eastAsia="en-US"/>
        </w:rPr>
        <w:t xml:space="preserve"> zakázky a </w:t>
      </w:r>
      <w:r w:rsidR="001C7D8A" w:rsidRPr="0082540E">
        <w:rPr>
          <w:rFonts w:ascii="Arial" w:hAnsi="Arial" w:cs="Arial"/>
          <w:b/>
          <w:sz w:val="20"/>
          <w:szCs w:val="20"/>
          <w:lang w:eastAsia="en-US"/>
        </w:rPr>
        <w:t>O7 Statistické ukazatele.</w:t>
      </w:r>
    </w:p>
    <w:p w:rsidR="00F42AF9" w:rsidRPr="008347D2" w:rsidRDefault="00F42AF9" w:rsidP="00175428">
      <w:pPr>
        <w:spacing w:before="0" w:after="240"/>
        <w:contextualSpacing/>
        <w:rPr>
          <w:rFonts w:ascii="Arial" w:hAnsi="Arial" w:cs="Arial"/>
          <w:sz w:val="20"/>
          <w:szCs w:val="20"/>
          <w:lang w:eastAsia="en-US"/>
        </w:rPr>
      </w:pPr>
    </w:p>
    <w:p w:rsidR="00F42AF9" w:rsidRDefault="00F42AF9" w:rsidP="00143B70">
      <w:pPr>
        <w:spacing w:before="0" w:after="240"/>
        <w:contextualSpacing/>
        <w:rPr>
          <w:rFonts w:ascii="Arial" w:hAnsi="Arial" w:cs="Arial"/>
          <w:sz w:val="20"/>
          <w:szCs w:val="20"/>
          <w:lang w:eastAsia="en-US"/>
        </w:rPr>
      </w:pPr>
      <w:r w:rsidRPr="00F42AF9">
        <w:rPr>
          <w:rFonts w:ascii="Arial" w:hAnsi="Arial" w:cs="Arial"/>
          <w:sz w:val="20"/>
          <w:szCs w:val="20"/>
          <w:lang w:eastAsia="en-US"/>
        </w:rPr>
        <w:t xml:space="preserve">Za rizikové lze i nadále považovat naplnění podmínky </w:t>
      </w:r>
      <w:r w:rsidRPr="00143B70">
        <w:rPr>
          <w:rFonts w:ascii="Arial" w:hAnsi="Arial" w:cs="Arial"/>
          <w:b/>
          <w:sz w:val="20"/>
          <w:szCs w:val="20"/>
          <w:lang w:eastAsia="en-US"/>
        </w:rPr>
        <w:t>6.2. Odpadové hospodářství</w:t>
      </w:r>
      <w:r w:rsidR="00175428">
        <w:rPr>
          <w:rFonts w:ascii="Arial" w:hAnsi="Arial" w:cs="Arial"/>
          <w:sz w:val="20"/>
          <w:szCs w:val="20"/>
          <w:lang w:eastAsia="en-US"/>
        </w:rPr>
        <w:t xml:space="preserve"> v souvislosti s </w:t>
      </w:r>
      <w:r w:rsidRPr="00F42AF9">
        <w:rPr>
          <w:rFonts w:ascii="Arial" w:hAnsi="Arial" w:cs="Arial"/>
          <w:sz w:val="20"/>
          <w:szCs w:val="20"/>
          <w:lang w:eastAsia="en-US"/>
        </w:rPr>
        <w:t xml:space="preserve">dvojími daty </w:t>
      </w:r>
      <w:r w:rsidR="00175428">
        <w:rPr>
          <w:rFonts w:ascii="Arial" w:hAnsi="Arial" w:cs="Arial"/>
          <w:sz w:val="20"/>
          <w:szCs w:val="20"/>
          <w:lang w:eastAsia="en-US"/>
        </w:rPr>
        <w:t>Českého statistického úřadu (</w:t>
      </w:r>
      <w:r w:rsidRPr="00F42AF9">
        <w:rPr>
          <w:rFonts w:ascii="Arial" w:hAnsi="Arial" w:cs="Arial"/>
          <w:sz w:val="20"/>
          <w:szCs w:val="20"/>
          <w:lang w:eastAsia="en-US"/>
        </w:rPr>
        <w:t>ČSÚ</w:t>
      </w:r>
      <w:r w:rsidR="00175428">
        <w:rPr>
          <w:rFonts w:ascii="Arial" w:hAnsi="Arial" w:cs="Arial"/>
          <w:sz w:val="20"/>
          <w:szCs w:val="20"/>
          <w:lang w:eastAsia="en-US"/>
        </w:rPr>
        <w:t>)</w:t>
      </w:r>
      <w:r w:rsidRPr="00F42AF9">
        <w:rPr>
          <w:rFonts w:ascii="Arial" w:hAnsi="Arial" w:cs="Arial"/>
          <w:sz w:val="20"/>
          <w:szCs w:val="20"/>
          <w:lang w:eastAsia="en-US"/>
        </w:rPr>
        <w:t xml:space="preserve"> a </w:t>
      </w:r>
      <w:r w:rsidR="00175428">
        <w:rPr>
          <w:rFonts w:ascii="Arial" w:hAnsi="Arial" w:cs="Arial"/>
          <w:sz w:val="20"/>
          <w:szCs w:val="20"/>
          <w:lang w:eastAsia="en-US"/>
        </w:rPr>
        <w:t>Ministerstva životního prostředí (</w:t>
      </w:r>
      <w:r w:rsidRPr="00F42AF9">
        <w:rPr>
          <w:rFonts w:ascii="Arial" w:hAnsi="Arial" w:cs="Arial"/>
          <w:sz w:val="20"/>
          <w:szCs w:val="20"/>
          <w:lang w:eastAsia="en-US"/>
        </w:rPr>
        <w:t>MŽP</w:t>
      </w:r>
      <w:r w:rsidR="00175428">
        <w:rPr>
          <w:rFonts w:ascii="Arial" w:hAnsi="Arial" w:cs="Arial"/>
          <w:sz w:val="20"/>
          <w:szCs w:val="20"/>
          <w:lang w:eastAsia="en-US"/>
        </w:rPr>
        <w:t>)</w:t>
      </w:r>
      <w:r w:rsidRPr="00F42AF9">
        <w:rPr>
          <w:rFonts w:ascii="Arial" w:hAnsi="Arial" w:cs="Arial"/>
          <w:sz w:val="20"/>
          <w:szCs w:val="20"/>
          <w:lang w:eastAsia="en-US"/>
        </w:rPr>
        <w:t>. Vzhledem</w:t>
      </w:r>
      <w:r w:rsidR="006A693C">
        <w:rPr>
          <w:rFonts w:ascii="Arial" w:hAnsi="Arial" w:cs="Arial"/>
          <w:sz w:val="20"/>
          <w:szCs w:val="20"/>
          <w:lang w:eastAsia="en-US"/>
        </w:rPr>
        <w:t> </w:t>
      </w:r>
      <w:r w:rsidRPr="00F42AF9">
        <w:rPr>
          <w:rFonts w:ascii="Arial" w:hAnsi="Arial" w:cs="Arial"/>
          <w:sz w:val="20"/>
          <w:szCs w:val="20"/>
          <w:lang w:eastAsia="en-US"/>
        </w:rPr>
        <w:t xml:space="preserve">k významným odlišnostem v datech </w:t>
      </w:r>
      <w:proofErr w:type="spellStart"/>
      <w:r w:rsidRPr="00F42AF9">
        <w:rPr>
          <w:rFonts w:ascii="Arial" w:hAnsi="Arial" w:cs="Arial"/>
          <w:sz w:val="20"/>
          <w:szCs w:val="20"/>
          <w:lang w:eastAsia="en-US"/>
        </w:rPr>
        <w:t>Eurostat</w:t>
      </w:r>
      <w:proofErr w:type="spellEnd"/>
      <w:r w:rsidRPr="00F42AF9">
        <w:rPr>
          <w:rFonts w:ascii="Arial" w:hAnsi="Arial" w:cs="Arial"/>
          <w:sz w:val="20"/>
          <w:szCs w:val="20"/>
          <w:lang w:eastAsia="en-US"/>
        </w:rPr>
        <w:t xml:space="preserve"> (ČSÚ) a MŽP si Evropská komise vyhradila právo posouzení souladu plánů odpadového hospodářství (POH ČR a </w:t>
      </w:r>
      <w:r w:rsidR="00175428">
        <w:rPr>
          <w:rFonts w:ascii="Arial" w:hAnsi="Arial" w:cs="Arial"/>
          <w:sz w:val="20"/>
          <w:szCs w:val="20"/>
          <w:lang w:eastAsia="en-US"/>
        </w:rPr>
        <w:t>14 krajských POH) se Směrnicí o </w:t>
      </w:r>
      <w:r w:rsidRPr="00F42AF9">
        <w:rPr>
          <w:rFonts w:ascii="Arial" w:hAnsi="Arial" w:cs="Arial"/>
          <w:sz w:val="20"/>
          <w:szCs w:val="20"/>
          <w:lang w:eastAsia="en-US"/>
        </w:rPr>
        <w:t xml:space="preserve">odpadech 2008/98/ES. </w:t>
      </w:r>
      <w:r w:rsidR="0005612C">
        <w:rPr>
          <w:rFonts w:ascii="Arial" w:eastAsia="Times New Roman" w:hAnsi="Arial" w:cs="Arial"/>
          <w:sz w:val="20"/>
          <w:szCs w:val="20"/>
        </w:rPr>
        <w:t>Dne 15.</w:t>
      </w:r>
      <w:r w:rsidR="00175428">
        <w:rPr>
          <w:rFonts w:ascii="Arial" w:eastAsia="Times New Roman" w:hAnsi="Arial" w:cs="Arial"/>
          <w:sz w:val="20"/>
          <w:szCs w:val="20"/>
        </w:rPr>
        <w:t xml:space="preserve"> </w:t>
      </w:r>
      <w:r w:rsidR="009621B1">
        <w:rPr>
          <w:rFonts w:ascii="Arial" w:eastAsia="Times New Roman" w:hAnsi="Arial" w:cs="Arial"/>
          <w:sz w:val="20"/>
          <w:szCs w:val="20"/>
        </w:rPr>
        <w:t>říj</w:t>
      </w:r>
      <w:r w:rsidR="0005612C">
        <w:rPr>
          <w:rFonts w:ascii="Arial" w:eastAsia="Times New Roman" w:hAnsi="Arial" w:cs="Arial"/>
          <w:sz w:val="20"/>
          <w:szCs w:val="20"/>
        </w:rPr>
        <w:t xml:space="preserve">na </w:t>
      </w:r>
      <w:r w:rsidR="0005612C" w:rsidRPr="00261C4D">
        <w:rPr>
          <w:rFonts w:ascii="Arial" w:eastAsia="Times New Roman" w:hAnsi="Arial" w:cs="Arial"/>
          <w:sz w:val="20"/>
          <w:szCs w:val="20"/>
        </w:rPr>
        <w:t>2015 byla MŽP prostřednictvím MZV odeslána Evropské komisi – Generálnímu ředitelství Životní prostředí informace o nutnosti sjednocení přístupu na úrovni evropských právních předpisů pro oblast od</w:t>
      </w:r>
      <w:r w:rsidR="001F20D9">
        <w:rPr>
          <w:rFonts w:ascii="Arial" w:eastAsia="Times New Roman" w:hAnsi="Arial" w:cs="Arial"/>
          <w:sz w:val="20"/>
          <w:szCs w:val="20"/>
        </w:rPr>
        <w:t>padového hospodářství. Informaci</w:t>
      </w:r>
      <w:r w:rsidR="0005612C" w:rsidRPr="00261C4D">
        <w:rPr>
          <w:rFonts w:ascii="Arial" w:eastAsia="Times New Roman" w:hAnsi="Arial" w:cs="Arial"/>
          <w:sz w:val="20"/>
          <w:szCs w:val="20"/>
        </w:rPr>
        <w:t xml:space="preserve"> k </w:t>
      </w:r>
      <w:r w:rsidR="00F94A7A">
        <w:rPr>
          <w:rFonts w:ascii="Arial" w:eastAsia="Times New Roman" w:hAnsi="Arial" w:cs="Arial"/>
          <w:sz w:val="20"/>
          <w:szCs w:val="20"/>
        </w:rPr>
        <w:t>řešení problematiky dvojích dat</w:t>
      </w:r>
      <w:r w:rsidR="00175428">
        <w:rPr>
          <w:rFonts w:ascii="Arial" w:eastAsia="Times New Roman" w:hAnsi="Arial" w:cs="Arial"/>
          <w:sz w:val="20"/>
          <w:szCs w:val="20"/>
        </w:rPr>
        <w:t xml:space="preserve"> </w:t>
      </w:r>
      <w:r w:rsidR="0005612C" w:rsidRPr="00261C4D">
        <w:rPr>
          <w:rFonts w:ascii="Arial" w:eastAsia="Times New Roman" w:hAnsi="Arial" w:cs="Arial"/>
          <w:sz w:val="20"/>
          <w:szCs w:val="20"/>
        </w:rPr>
        <w:t>o odpadech požadovala EK na základě výsledků jednání (</w:t>
      </w:r>
      <w:r w:rsidR="0005612C" w:rsidRPr="00261C4D">
        <w:rPr>
          <w:rFonts w:ascii="Arial" w:hAnsi="Arial" w:cs="Arial"/>
          <w:sz w:val="20"/>
          <w:szCs w:val="20"/>
        </w:rPr>
        <w:t>viz.</w:t>
      </w:r>
      <w:r w:rsidR="009621B1">
        <w:rPr>
          <w:rFonts w:ascii="Arial" w:hAnsi="Arial" w:cs="Arial"/>
          <w:sz w:val="20"/>
          <w:szCs w:val="20"/>
        </w:rPr>
        <w:t xml:space="preserve"> závěry</w:t>
      </w:r>
      <w:r w:rsidR="0005612C" w:rsidRPr="00261C4D">
        <w:rPr>
          <w:rFonts w:ascii="Arial" w:hAnsi="Arial" w:cs="Arial"/>
          <w:sz w:val="20"/>
          <w:szCs w:val="20"/>
        </w:rPr>
        <w:t xml:space="preserve"> </w:t>
      </w:r>
      <w:r w:rsidR="009621B1">
        <w:rPr>
          <w:rFonts w:ascii="Arial" w:hAnsi="Arial" w:cs="Arial"/>
          <w:sz w:val="20"/>
          <w:szCs w:val="20"/>
        </w:rPr>
        <w:t xml:space="preserve">z </w:t>
      </w:r>
      <w:proofErr w:type="spellStart"/>
      <w:r w:rsidR="0005612C" w:rsidRPr="00261C4D">
        <w:rPr>
          <w:rFonts w:ascii="Arial" w:hAnsi="Arial" w:cs="Arial"/>
          <w:sz w:val="20"/>
          <w:szCs w:val="20"/>
        </w:rPr>
        <w:t>Package</w:t>
      </w:r>
      <w:proofErr w:type="spellEnd"/>
      <w:r w:rsidR="0005612C" w:rsidRPr="00261C4D">
        <w:rPr>
          <w:rFonts w:ascii="Arial" w:hAnsi="Arial" w:cs="Arial"/>
          <w:sz w:val="20"/>
          <w:szCs w:val="20"/>
        </w:rPr>
        <w:t xml:space="preserve"> meeti</w:t>
      </w:r>
      <w:r w:rsidR="0005612C">
        <w:rPr>
          <w:rFonts w:ascii="Arial" w:hAnsi="Arial" w:cs="Arial"/>
          <w:sz w:val="20"/>
          <w:szCs w:val="20"/>
        </w:rPr>
        <w:t xml:space="preserve">ng </w:t>
      </w:r>
      <w:proofErr w:type="spellStart"/>
      <w:r w:rsidR="0005612C">
        <w:rPr>
          <w:rFonts w:ascii="Arial" w:hAnsi="Arial" w:cs="Arial"/>
          <w:sz w:val="20"/>
          <w:szCs w:val="20"/>
        </w:rPr>
        <w:t>with</w:t>
      </w:r>
      <w:proofErr w:type="spellEnd"/>
      <w:r w:rsidR="0005612C">
        <w:rPr>
          <w:rFonts w:ascii="Arial" w:hAnsi="Arial" w:cs="Arial"/>
          <w:sz w:val="20"/>
          <w:szCs w:val="20"/>
        </w:rPr>
        <w:t xml:space="preserve"> </w:t>
      </w:r>
      <w:proofErr w:type="spellStart"/>
      <w:r w:rsidR="0005612C">
        <w:rPr>
          <w:rFonts w:ascii="Arial" w:hAnsi="Arial" w:cs="Arial"/>
          <w:sz w:val="20"/>
          <w:szCs w:val="20"/>
        </w:rPr>
        <w:t>Czech</w:t>
      </w:r>
      <w:proofErr w:type="spellEnd"/>
      <w:r w:rsidR="0005612C">
        <w:rPr>
          <w:rFonts w:ascii="Arial" w:hAnsi="Arial" w:cs="Arial"/>
          <w:sz w:val="20"/>
          <w:szCs w:val="20"/>
        </w:rPr>
        <w:t xml:space="preserve"> </w:t>
      </w:r>
      <w:proofErr w:type="spellStart"/>
      <w:r w:rsidR="0005612C">
        <w:rPr>
          <w:rFonts w:ascii="Arial" w:hAnsi="Arial" w:cs="Arial"/>
          <w:sz w:val="20"/>
          <w:szCs w:val="20"/>
        </w:rPr>
        <w:t>authorities</w:t>
      </w:r>
      <w:proofErr w:type="spellEnd"/>
      <w:r w:rsidR="0005612C">
        <w:rPr>
          <w:rFonts w:ascii="Arial" w:hAnsi="Arial" w:cs="Arial"/>
          <w:sz w:val="20"/>
          <w:szCs w:val="20"/>
        </w:rPr>
        <w:t xml:space="preserve">, 29. května </w:t>
      </w:r>
      <w:r w:rsidR="0005612C" w:rsidRPr="00261C4D">
        <w:rPr>
          <w:rFonts w:ascii="Arial" w:hAnsi="Arial" w:cs="Arial"/>
          <w:sz w:val="20"/>
          <w:szCs w:val="20"/>
        </w:rPr>
        <w:t>2015).</w:t>
      </w:r>
      <w:r w:rsidR="0005612C" w:rsidRPr="00261C4D">
        <w:rPr>
          <w:rFonts w:ascii="Arial" w:eastAsia="Times New Roman" w:hAnsi="Arial" w:cs="Arial"/>
          <w:sz w:val="20"/>
          <w:szCs w:val="20"/>
        </w:rPr>
        <w:t xml:space="preserve"> Domníváme se</w:t>
      </w:r>
      <w:r w:rsidR="00F15E0A">
        <w:rPr>
          <w:rFonts w:ascii="Arial" w:eastAsia="Times New Roman" w:hAnsi="Arial" w:cs="Arial"/>
          <w:sz w:val="20"/>
          <w:szCs w:val="20"/>
        </w:rPr>
        <w:t xml:space="preserve"> nicméně, že</w:t>
      </w:r>
      <w:r w:rsidR="0005612C" w:rsidRPr="00261C4D">
        <w:rPr>
          <w:rFonts w:ascii="Arial" w:eastAsia="Times New Roman" w:hAnsi="Arial" w:cs="Arial"/>
          <w:sz w:val="20"/>
          <w:szCs w:val="20"/>
        </w:rPr>
        <w:t xml:space="preserve"> informace</w:t>
      </w:r>
      <w:r w:rsidR="00F15E0A">
        <w:rPr>
          <w:rFonts w:ascii="Arial" w:eastAsia="Times New Roman" w:hAnsi="Arial" w:cs="Arial"/>
          <w:sz w:val="20"/>
          <w:szCs w:val="20"/>
        </w:rPr>
        <w:t xml:space="preserve"> poskytnuté ve výše </w:t>
      </w:r>
      <w:r w:rsidR="001F20D9">
        <w:rPr>
          <w:rFonts w:ascii="Arial" w:eastAsia="Times New Roman" w:hAnsi="Arial" w:cs="Arial"/>
          <w:sz w:val="20"/>
          <w:szCs w:val="20"/>
        </w:rPr>
        <w:t xml:space="preserve">uvedené odpovědi ze dne 15. října 2015, </w:t>
      </w:r>
      <w:r w:rsidR="0005612C" w:rsidRPr="00261C4D">
        <w:rPr>
          <w:rFonts w:ascii="Arial" w:eastAsia="Times New Roman" w:hAnsi="Arial" w:cs="Arial"/>
          <w:sz w:val="20"/>
          <w:szCs w:val="20"/>
        </w:rPr>
        <w:t>nebudou dostatečným vodítkem pro rozhodnutí EK, zda</w:t>
      </w:r>
      <w:r w:rsidR="006A693C">
        <w:rPr>
          <w:rFonts w:ascii="Arial" w:eastAsia="Times New Roman" w:hAnsi="Arial" w:cs="Arial"/>
          <w:sz w:val="20"/>
          <w:szCs w:val="20"/>
        </w:rPr>
        <w:t> </w:t>
      </w:r>
      <w:r w:rsidR="0005612C" w:rsidRPr="00261C4D">
        <w:rPr>
          <w:rFonts w:ascii="Arial" w:hAnsi="Arial" w:cs="Arial"/>
          <w:sz w:val="20"/>
          <w:szCs w:val="20"/>
        </w:rPr>
        <w:t xml:space="preserve">financování energetického využití odpadů prostřednictvím OPŽP neohrozí ČR v plnění cílů v oblasti recyklace odpadů dle Směrnice 2008/98/ES. </w:t>
      </w:r>
    </w:p>
    <w:p w:rsidR="00F42AF9" w:rsidRDefault="00F42AF9" w:rsidP="00143B70">
      <w:pPr>
        <w:spacing w:before="0" w:after="240"/>
        <w:contextualSpacing/>
        <w:rPr>
          <w:rFonts w:ascii="Arial" w:hAnsi="Arial" w:cs="Arial"/>
          <w:sz w:val="20"/>
          <w:szCs w:val="20"/>
          <w:lang w:eastAsia="en-US"/>
        </w:rPr>
      </w:pPr>
    </w:p>
    <w:p w:rsidR="00F42AF9" w:rsidRDefault="00F42AF9" w:rsidP="00143B70">
      <w:pPr>
        <w:spacing w:before="0" w:after="240"/>
        <w:contextualSpacing/>
        <w:rPr>
          <w:rFonts w:ascii="Arial" w:hAnsi="Arial" w:cs="Arial"/>
          <w:sz w:val="20"/>
          <w:szCs w:val="20"/>
          <w:lang w:eastAsia="en-US"/>
        </w:rPr>
      </w:pPr>
      <w:r>
        <w:rPr>
          <w:rFonts w:ascii="Arial" w:hAnsi="Arial" w:cs="Arial"/>
          <w:sz w:val="20"/>
          <w:szCs w:val="20"/>
          <w:lang w:eastAsia="en-US"/>
        </w:rPr>
        <w:t xml:space="preserve">Rovněž u předběžných podmínek </w:t>
      </w:r>
      <w:r w:rsidRPr="00143B70">
        <w:rPr>
          <w:rFonts w:ascii="Arial" w:hAnsi="Arial" w:cs="Arial"/>
          <w:b/>
          <w:sz w:val="20"/>
          <w:szCs w:val="20"/>
          <w:lang w:eastAsia="en-US"/>
        </w:rPr>
        <w:t xml:space="preserve">3.1 Podpora podnikání (SBA) </w:t>
      </w:r>
      <w:r>
        <w:rPr>
          <w:rFonts w:ascii="Arial" w:hAnsi="Arial" w:cs="Arial"/>
          <w:sz w:val="20"/>
          <w:szCs w:val="20"/>
          <w:lang w:eastAsia="en-US"/>
        </w:rPr>
        <w:t xml:space="preserve">a </w:t>
      </w:r>
      <w:r w:rsidRPr="00143B70">
        <w:rPr>
          <w:rFonts w:ascii="Arial" w:hAnsi="Arial" w:cs="Arial"/>
          <w:b/>
          <w:sz w:val="20"/>
          <w:szCs w:val="20"/>
          <w:lang w:eastAsia="en-US"/>
        </w:rPr>
        <w:t xml:space="preserve">8.2 </w:t>
      </w:r>
      <w:r w:rsidR="00E112F2" w:rsidRPr="00143B70">
        <w:rPr>
          <w:rFonts w:ascii="Arial" w:hAnsi="Arial" w:cs="Arial"/>
          <w:b/>
          <w:sz w:val="20"/>
          <w:szCs w:val="20"/>
          <w:lang w:eastAsia="en-US"/>
        </w:rPr>
        <w:t>Samostatná výdělečná činnost, podnikání a zakládání firem</w:t>
      </w:r>
      <w:r w:rsidR="00E112F2">
        <w:rPr>
          <w:rFonts w:ascii="Arial" w:hAnsi="Arial" w:cs="Arial"/>
          <w:sz w:val="20"/>
          <w:szCs w:val="20"/>
          <w:lang w:eastAsia="en-US"/>
        </w:rPr>
        <w:t xml:space="preserve"> došlo k posunu termínu </w:t>
      </w:r>
      <w:r w:rsidR="009B26A2">
        <w:rPr>
          <w:rFonts w:ascii="Arial" w:hAnsi="Arial" w:cs="Arial"/>
          <w:sz w:val="20"/>
          <w:szCs w:val="20"/>
          <w:lang w:eastAsia="en-US"/>
        </w:rPr>
        <w:t xml:space="preserve">splnění předběžné podmínky </w:t>
      </w:r>
      <w:r w:rsidR="00175428">
        <w:rPr>
          <w:rFonts w:ascii="Arial" w:hAnsi="Arial" w:cs="Arial"/>
          <w:sz w:val="20"/>
          <w:szCs w:val="20"/>
          <w:lang w:eastAsia="en-US"/>
        </w:rPr>
        <w:br/>
      </w:r>
      <w:r w:rsidR="00E112F2">
        <w:rPr>
          <w:rFonts w:ascii="Arial" w:hAnsi="Arial" w:cs="Arial"/>
          <w:sz w:val="20"/>
          <w:szCs w:val="20"/>
          <w:lang w:eastAsia="en-US"/>
        </w:rPr>
        <w:t>na 1. února 2016. Posun je zdůvodněn pozdržením v rámci legislativního procesu v Poslanecké sněmovně Parlamentu ČR, nikoli po věcné stránce.</w:t>
      </w:r>
      <w:r w:rsidR="009B26A2">
        <w:rPr>
          <w:rFonts w:ascii="Arial" w:hAnsi="Arial" w:cs="Arial"/>
          <w:sz w:val="20"/>
          <w:szCs w:val="20"/>
          <w:lang w:eastAsia="en-US"/>
        </w:rPr>
        <w:t xml:space="preserve"> EK již byl zaslán aktualizovaný Akční plán, nyní je očekávána její reakce.</w:t>
      </w:r>
    </w:p>
    <w:p w:rsidR="00781951" w:rsidRDefault="00781951" w:rsidP="00781951">
      <w:pPr>
        <w:spacing w:before="0" w:after="240"/>
        <w:contextualSpacing/>
        <w:rPr>
          <w:rFonts w:ascii="Arial" w:hAnsi="Arial" w:cs="Arial"/>
          <w:sz w:val="20"/>
          <w:szCs w:val="20"/>
          <w:lang w:eastAsia="en-US"/>
        </w:rPr>
      </w:pPr>
    </w:p>
    <w:p w:rsidR="00781951" w:rsidRDefault="00781951" w:rsidP="00781951">
      <w:pPr>
        <w:spacing w:before="0" w:after="240"/>
        <w:contextualSpacing/>
        <w:rPr>
          <w:rFonts w:ascii="Arial" w:hAnsi="Arial" w:cs="Arial"/>
          <w:sz w:val="20"/>
          <w:szCs w:val="20"/>
          <w:lang w:eastAsia="en-US"/>
        </w:rPr>
      </w:pPr>
      <w:r>
        <w:rPr>
          <w:rFonts w:ascii="Arial" w:hAnsi="Arial" w:cs="Arial"/>
          <w:sz w:val="20"/>
          <w:szCs w:val="20"/>
          <w:lang w:eastAsia="en-US"/>
        </w:rPr>
        <w:t xml:space="preserve">Za zcela nesplněnou </w:t>
      </w:r>
      <w:r w:rsidRPr="008347D2">
        <w:rPr>
          <w:rFonts w:ascii="Arial" w:hAnsi="Arial" w:cs="Arial"/>
          <w:sz w:val="20"/>
          <w:szCs w:val="20"/>
          <w:lang w:eastAsia="en-US"/>
        </w:rPr>
        <w:t xml:space="preserve">je </w:t>
      </w:r>
      <w:r>
        <w:rPr>
          <w:rFonts w:ascii="Arial" w:hAnsi="Arial" w:cs="Arial"/>
          <w:sz w:val="20"/>
          <w:szCs w:val="20"/>
          <w:lang w:eastAsia="en-US"/>
        </w:rPr>
        <w:t xml:space="preserve">i v tuto chvíli </w:t>
      </w:r>
      <w:r w:rsidRPr="008347D2">
        <w:rPr>
          <w:rFonts w:ascii="Arial" w:hAnsi="Arial" w:cs="Arial"/>
          <w:sz w:val="20"/>
          <w:szCs w:val="20"/>
          <w:lang w:eastAsia="en-US"/>
        </w:rPr>
        <w:t xml:space="preserve">považována předběžná podmínka </w:t>
      </w:r>
      <w:r w:rsidRPr="00143B70">
        <w:rPr>
          <w:rFonts w:ascii="Arial" w:hAnsi="Arial" w:cs="Arial"/>
          <w:b/>
          <w:sz w:val="20"/>
          <w:szCs w:val="20"/>
          <w:lang w:eastAsia="en-US"/>
        </w:rPr>
        <w:t>2.2 Infrastruktura přístupových sítí nové generace.</w:t>
      </w:r>
      <w:r w:rsidRPr="008347D2">
        <w:rPr>
          <w:rFonts w:ascii="Arial" w:hAnsi="Arial" w:cs="Arial"/>
          <w:sz w:val="20"/>
          <w:szCs w:val="20"/>
          <w:lang w:eastAsia="en-US"/>
        </w:rPr>
        <w:t xml:space="preserve"> M</w:t>
      </w:r>
      <w:r>
        <w:rPr>
          <w:rFonts w:ascii="Arial" w:hAnsi="Arial" w:cs="Arial"/>
          <w:sz w:val="20"/>
          <w:szCs w:val="20"/>
          <w:lang w:eastAsia="en-US"/>
        </w:rPr>
        <w:t>inisterstvo průmyslu a obchodu (M</w:t>
      </w:r>
      <w:r w:rsidRPr="008347D2">
        <w:rPr>
          <w:rFonts w:ascii="Arial" w:hAnsi="Arial" w:cs="Arial"/>
          <w:sz w:val="20"/>
          <w:szCs w:val="20"/>
          <w:lang w:eastAsia="en-US"/>
        </w:rPr>
        <w:t>PO</w:t>
      </w:r>
      <w:r>
        <w:rPr>
          <w:rFonts w:ascii="Arial" w:hAnsi="Arial" w:cs="Arial"/>
          <w:sz w:val="20"/>
          <w:szCs w:val="20"/>
          <w:lang w:eastAsia="en-US"/>
        </w:rPr>
        <w:t>)</w:t>
      </w:r>
      <w:r w:rsidRPr="008347D2">
        <w:rPr>
          <w:rFonts w:ascii="Arial" w:hAnsi="Arial" w:cs="Arial"/>
          <w:sz w:val="20"/>
          <w:szCs w:val="20"/>
          <w:lang w:eastAsia="en-US"/>
        </w:rPr>
        <w:t xml:space="preserve"> v tuto chvíli vydefinovalo nový akční pl</w:t>
      </w:r>
      <w:r>
        <w:rPr>
          <w:rFonts w:ascii="Arial" w:hAnsi="Arial" w:cs="Arial"/>
          <w:sz w:val="20"/>
          <w:szCs w:val="20"/>
          <w:lang w:eastAsia="en-US"/>
        </w:rPr>
        <w:t>án s </w:t>
      </w:r>
      <w:r w:rsidRPr="008347D2">
        <w:rPr>
          <w:rFonts w:ascii="Arial" w:hAnsi="Arial" w:cs="Arial"/>
          <w:sz w:val="20"/>
          <w:szCs w:val="20"/>
          <w:lang w:eastAsia="en-US"/>
        </w:rPr>
        <w:t>termínem splnění k 30. červnu 2016, který byl zaslán na EK spolu se zdůvodněním a žádostí o posun termínu.</w:t>
      </w:r>
    </w:p>
    <w:p w:rsidR="00BC6530" w:rsidRDefault="00BC6530">
      <w:pPr>
        <w:spacing w:before="0" w:line="240" w:lineRule="auto"/>
        <w:jc w:val="left"/>
        <w:rPr>
          <w:rFonts w:ascii="Arial" w:hAnsi="Arial" w:cs="Arial"/>
          <w:b/>
          <w:lang w:eastAsia="en-US"/>
        </w:rPr>
      </w:pPr>
      <w:r>
        <w:rPr>
          <w:rFonts w:ascii="Arial" w:hAnsi="Arial" w:cs="Arial"/>
          <w:b/>
          <w:lang w:eastAsia="en-US"/>
        </w:rPr>
        <w:br w:type="page"/>
      </w:r>
    </w:p>
    <w:p w:rsidR="00175428" w:rsidRDefault="00175428" w:rsidP="00175428">
      <w:pPr>
        <w:spacing w:before="0" w:after="240"/>
        <w:contextualSpacing/>
        <w:rPr>
          <w:rFonts w:ascii="Arial" w:hAnsi="Arial" w:cs="Arial"/>
          <w:b/>
          <w:lang w:eastAsia="en-US"/>
        </w:rPr>
      </w:pPr>
      <w:r w:rsidRPr="00175428">
        <w:rPr>
          <w:rFonts w:ascii="Arial" w:hAnsi="Arial" w:cs="Arial"/>
          <w:b/>
          <w:lang w:eastAsia="en-US"/>
        </w:rPr>
        <w:lastRenderedPageBreak/>
        <w:t>2.1 Přehled naplňování předběžných podmínek</w:t>
      </w:r>
    </w:p>
    <w:p w:rsidR="00175428" w:rsidRPr="00175428" w:rsidRDefault="00175428" w:rsidP="00175428">
      <w:pPr>
        <w:spacing w:before="0" w:after="240"/>
        <w:contextualSpacing/>
        <w:rPr>
          <w:rFonts w:ascii="Arial" w:hAnsi="Arial" w:cs="Arial"/>
          <w:b/>
          <w:lang w:eastAsia="en-US"/>
        </w:rPr>
      </w:pPr>
    </w:p>
    <w:p w:rsidR="008347D2" w:rsidRDefault="00F42AF9" w:rsidP="00175428">
      <w:pPr>
        <w:spacing w:before="0" w:after="240"/>
        <w:contextualSpacing/>
        <w:rPr>
          <w:rFonts w:ascii="Arial" w:hAnsi="Arial" w:cs="Arial"/>
          <w:sz w:val="20"/>
          <w:szCs w:val="20"/>
          <w:lang w:eastAsia="en-US"/>
        </w:rPr>
      </w:pPr>
      <w:r w:rsidRPr="00F42AF9">
        <w:rPr>
          <w:rFonts w:ascii="Arial" w:hAnsi="Arial" w:cs="Arial"/>
          <w:sz w:val="20"/>
          <w:szCs w:val="20"/>
          <w:lang w:eastAsia="en-US"/>
        </w:rPr>
        <w:t>Následující tabulka vyjadřuje míru rizikovosti a procentuální naplňování jednotlivých předběžných podmínek. Jedná se o indikativní odhad naplňování. V potaz je zejména nutné brát konkrétní okolnosti a rizika nenaplnění. Z tohoto důvodu uvádí MMR-NOK i indikativní míru rizikovosti.</w:t>
      </w:r>
    </w:p>
    <w:p w:rsidR="00175428" w:rsidRPr="00143B70" w:rsidRDefault="00175428" w:rsidP="00143B70">
      <w:pPr>
        <w:spacing w:before="0" w:after="240"/>
        <w:contextualSpacing/>
        <w:rPr>
          <w:rFonts w:ascii="Arial" w:hAnsi="Arial" w:cs="Arial"/>
          <w:sz w:val="20"/>
          <w:szCs w:val="20"/>
          <w:highlight w:val="yellow"/>
          <w:lang w:eastAsia="en-US"/>
        </w:rPr>
      </w:pPr>
    </w:p>
    <w:p w:rsidR="00F66A93" w:rsidRPr="00143B70" w:rsidRDefault="00F66A93" w:rsidP="00F66A93">
      <w:pPr>
        <w:numPr>
          <w:ilvl w:val="0"/>
          <w:numId w:val="5"/>
        </w:numPr>
        <w:spacing w:before="0" w:after="240"/>
        <w:ind w:left="284" w:hanging="284"/>
        <w:contextualSpacing/>
        <w:rPr>
          <w:rFonts w:ascii="Arial" w:hAnsi="Arial" w:cs="Arial"/>
          <w:sz w:val="20"/>
          <w:szCs w:val="20"/>
          <w:lang w:eastAsia="en-US"/>
        </w:rPr>
      </w:pPr>
      <w:r w:rsidRPr="00421C10">
        <w:rPr>
          <w:rFonts w:ascii="Arial" w:hAnsi="Arial" w:cs="Arial"/>
          <w:b/>
          <w:sz w:val="20"/>
          <w:szCs w:val="20"/>
          <w:lang w:eastAsia="en-US"/>
        </w:rPr>
        <w:t>splněno:</w:t>
      </w:r>
      <w:r w:rsidRPr="006B45D9">
        <w:rPr>
          <w:rFonts w:ascii="Arial" w:hAnsi="Arial" w:cs="Arial"/>
          <w:sz w:val="20"/>
          <w:szCs w:val="20"/>
          <w:lang w:eastAsia="en-US"/>
        </w:rPr>
        <w:t xml:space="preserve"> </w:t>
      </w:r>
      <w:r w:rsidRPr="00143B70">
        <w:rPr>
          <w:rFonts w:ascii="Arial" w:hAnsi="Arial" w:cs="Arial"/>
          <w:sz w:val="20"/>
          <w:szCs w:val="20"/>
          <w:lang w:eastAsia="en-US"/>
        </w:rPr>
        <w:t>2</w:t>
      </w:r>
      <w:r w:rsidR="00851225">
        <w:rPr>
          <w:rFonts w:ascii="Arial" w:hAnsi="Arial" w:cs="Arial"/>
          <w:sz w:val="20"/>
          <w:szCs w:val="20"/>
          <w:lang w:eastAsia="en-US"/>
        </w:rPr>
        <w:t>5</w:t>
      </w:r>
      <w:r w:rsidRPr="00143B70">
        <w:rPr>
          <w:rFonts w:ascii="Arial" w:hAnsi="Arial" w:cs="Arial"/>
          <w:sz w:val="20"/>
          <w:szCs w:val="20"/>
          <w:lang w:eastAsia="en-US"/>
        </w:rPr>
        <w:t xml:space="preserve"> předběžných podmínek, z toho 19 verifikováno EK</w:t>
      </w:r>
    </w:p>
    <w:p w:rsidR="00F66A93" w:rsidRPr="00143B70" w:rsidRDefault="00F66A93" w:rsidP="00F66A93">
      <w:pPr>
        <w:numPr>
          <w:ilvl w:val="0"/>
          <w:numId w:val="5"/>
        </w:numPr>
        <w:spacing w:after="120"/>
        <w:ind w:left="284" w:hanging="284"/>
        <w:contextualSpacing/>
        <w:rPr>
          <w:rFonts w:ascii="Arial" w:hAnsi="Arial" w:cs="Arial"/>
          <w:sz w:val="20"/>
          <w:szCs w:val="20"/>
          <w:lang w:eastAsia="en-US"/>
        </w:rPr>
      </w:pPr>
      <w:r w:rsidRPr="00143B70">
        <w:rPr>
          <w:rFonts w:ascii="Arial" w:hAnsi="Arial" w:cs="Arial"/>
          <w:b/>
          <w:sz w:val="20"/>
          <w:szCs w:val="20"/>
          <w:lang w:eastAsia="en-US"/>
        </w:rPr>
        <w:t>částečně splněno:</w:t>
      </w:r>
      <w:r w:rsidRPr="00143B70">
        <w:rPr>
          <w:rFonts w:ascii="Arial" w:hAnsi="Arial" w:cs="Arial"/>
          <w:sz w:val="20"/>
          <w:szCs w:val="20"/>
          <w:lang w:eastAsia="en-US"/>
        </w:rPr>
        <w:t xml:space="preserve"> 1</w:t>
      </w:r>
      <w:r w:rsidR="00851225">
        <w:rPr>
          <w:rFonts w:ascii="Arial" w:hAnsi="Arial" w:cs="Arial"/>
          <w:sz w:val="20"/>
          <w:szCs w:val="20"/>
          <w:lang w:eastAsia="en-US"/>
        </w:rPr>
        <w:t>4</w:t>
      </w:r>
      <w:r w:rsidRPr="00143B70">
        <w:rPr>
          <w:rFonts w:ascii="Arial" w:hAnsi="Arial" w:cs="Arial"/>
          <w:sz w:val="20"/>
          <w:szCs w:val="20"/>
          <w:lang w:eastAsia="en-US"/>
        </w:rPr>
        <w:t xml:space="preserve"> předběžných podmínek</w:t>
      </w:r>
    </w:p>
    <w:p w:rsidR="00F66A93" w:rsidRDefault="00F66A93" w:rsidP="00F66A93">
      <w:pPr>
        <w:numPr>
          <w:ilvl w:val="0"/>
          <w:numId w:val="5"/>
        </w:numPr>
        <w:spacing w:after="120"/>
        <w:ind w:left="284" w:hanging="284"/>
        <w:contextualSpacing/>
        <w:rPr>
          <w:rFonts w:ascii="Arial" w:hAnsi="Arial" w:cs="Arial"/>
          <w:sz w:val="20"/>
          <w:szCs w:val="20"/>
          <w:lang w:eastAsia="en-US"/>
        </w:rPr>
      </w:pPr>
      <w:r w:rsidRPr="00F66A93">
        <w:rPr>
          <w:rFonts w:ascii="Arial" w:hAnsi="Arial" w:cs="Arial"/>
          <w:b/>
          <w:sz w:val="20"/>
          <w:szCs w:val="20"/>
          <w:lang w:eastAsia="en-US"/>
        </w:rPr>
        <w:t>nesplněno:</w:t>
      </w:r>
      <w:r w:rsidRPr="00F66A93">
        <w:rPr>
          <w:rFonts w:ascii="Arial" w:hAnsi="Arial" w:cs="Arial"/>
          <w:sz w:val="20"/>
          <w:szCs w:val="20"/>
          <w:lang w:eastAsia="en-US"/>
        </w:rPr>
        <w:t xml:space="preserve"> 1 předběžná podmínka</w:t>
      </w:r>
    </w:p>
    <w:p w:rsidR="00F66A93" w:rsidRPr="00F66A93" w:rsidRDefault="00F66A93" w:rsidP="00F66A93">
      <w:pPr>
        <w:spacing w:after="120"/>
        <w:ind w:left="284"/>
        <w:contextualSpacing/>
        <w:rPr>
          <w:rFonts w:ascii="Arial" w:hAnsi="Arial" w:cs="Arial"/>
          <w:sz w:val="20"/>
          <w:szCs w:val="20"/>
          <w:lang w:eastAsia="en-US"/>
        </w:rPr>
      </w:pPr>
    </w:p>
    <w:p w:rsidR="00F66A93" w:rsidRPr="00F66A93" w:rsidRDefault="00F66A93" w:rsidP="00F66A93">
      <w:pPr>
        <w:spacing w:before="0"/>
        <w:rPr>
          <w:rFonts w:ascii="Arial" w:hAnsi="Arial" w:cs="Arial"/>
          <w:sz w:val="20"/>
          <w:szCs w:val="20"/>
        </w:rPr>
      </w:pPr>
      <w:r w:rsidRPr="00F66A93">
        <w:rPr>
          <w:rFonts w:ascii="Arial" w:hAnsi="Arial" w:cs="Arial"/>
          <w:sz w:val="20"/>
          <w:szCs w:val="20"/>
        </w:rPr>
        <w:t>V uvedené tabulce je následující barevné odlišení:</w:t>
      </w:r>
    </w:p>
    <w:p w:rsidR="00F66A93" w:rsidRPr="00F66A93" w:rsidRDefault="00F66A93" w:rsidP="00F66A93">
      <w:pPr>
        <w:numPr>
          <w:ilvl w:val="0"/>
          <w:numId w:val="11"/>
        </w:numPr>
        <w:spacing w:before="0" w:after="120"/>
        <w:ind w:left="284" w:hanging="284"/>
        <w:contextualSpacing/>
        <w:rPr>
          <w:rFonts w:ascii="Arial" w:hAnsi="Arial" w:cs="Arial"/>
          <w:sz w:val="20"/>
          <w:szCs w:val="20"/>
          <w:lang w:eastAsia="en-US"/>
        </w:rPr>
      </w:pPr>
      <w:r w:rsidRPr="00F66A93">
        <w:rPr>
          <w:rFonts w:ascii="Arial" w:hAnsi="Arial" w:cs="Arial"/>
          <w:sz w:val="20"/>
          <w:szCs w:val="20"/>
          <w:lang w:eastAsia="en-US"/>
        </w:rPr>
        <w:t xml:space="preserve">splněné PP – </w:t>
      </w:r>
      <w:r w:rsidRPr="00F66A93">
        <w:rPr>
          <w:rFonts w:ascii="Arial" w:hAnsi="Arial" w:cs="Arial"/>
          <w:color w:val="76923C" w:themeColor="accent3" w:themeShade="BF"/>
          <w:sz w:val="20"/>
          <w:szCs w:val="20"/>
          <w:lang w:eastAsia="en-US"/>
        </w:rPr>
        <w:t>zelená</w:t>
      </w:r>
      <w:r w:rsidRPr="00F66A93">
        <w:rPr>
          <w:rFonts w:ascii="Arial" w:hAnsi="Arial" w:cs="Arial"/>
          <w:sz w:val="20"/>
          <w:szCs w:val="20"/>
          <w:lang w:eastAsia="en-US"/>
        </w:rPr>
        <w:t xml:space="preserve"> </w:t>
      </w:r>
    </w:p>
    <w:p w:rsidR="00F66A93" w:rsidRPr="00F66A93" w:rsidRDefault="00F66A93" w:rsidP="00F66A93">
      <w:pPr>
        <w:numPr>
          <w:ilvl w:val="0"/>
          <w:numId w:val="11"/>
        </w:numPr>
        <w:spacing w:before="0" w:after="120"/>
        <w:ind w:left="284" w:hanging="284"/>
        <w:contextualSpacing/>
        <w:rPr>
          <w:rFonts w:ascii="Arial" w:hAnsi="Arial" w:cs="Arial"/>
          <w:sz w:val="20"/>
          <w:szCs w:val="20"/>
          <w:lang w:eastAsia="en-US"/>
        </w:rPr>
      </w:pPr>
      <w:r w:rsidRPr="00F66A93">
        <w:rPr>
          <w:rFonts w:ascii="Arial" w:hAnsi="Arial" w:cs="Arial"/>
          <w:sz w:val="20"/>
          <w:szCs w:val="20"/>
          <w:lang w:eastAsia="en-US"/>
        </w:rPr>
        <w:t xml:space="preserve">částečně splněné PP – </w:t>
      </w:r>
      <w:r w:rsidRPr="00F66A93">
        <w:rPr>
          <w:rFonts w:ascii="Arial" w:hAnsi="Arial" w:cs="Arial"/>
          <w:color w:val="548DD4" w:themeColor="text2" w:themeTint="99"/>
          <w:sz w:val="20"/>
          <w:szCs w:val="20"/>
          <w:lang w:eastAsia="en-US"/>
        </w:rPr>
        <w:t>modrá</w:t>
      </w:r>
    </w:p>
    <w:p w:rsidR="00F66A93" w:rsidRPr="00175428" w:rsidRDefault="00F66A93" w:rsidP="00F66A93">
      <w:pPr>
        <w:numPr>
          <w:ilvl w:val="0"/>
          <w:numId w:val="11"/>
        </w:numPr>
        <w:spacing w:before="0" w:after="120"/>
        <w:ind w:left="284" w:hanging="284"/>
        <w:contextualSpacing/>
        <w:rPr>
          <w:rFonts w:ascii="Arial" w:hAnsi="Arial" w:cs="Arial"/>
          <w:b/>
          <w:sz w:val="20"/>
          <w:szCs w:val="20"/>
          <w:lang w:eastAsia="en-US"/>
        </w:rPr>
      </w:pPr>
      <w:r w:rsidRPr="00F66A93">
        <w:rPr>
          <w:rFonts w:ascii="Arial" w:hAnsi="Arial" w:cs="Arial"/>
          <w:sz w:val="20"/>
          <w:szCs w:val="20"/>
          <w:lang w:eastAsia="en-US"/>
        </w:rPr>
        <w:t xml:space="preserve">nesplněné PP – </w:t>
      </w:r>
      <w:r w:rsidRPr="00F66A93">
        <w:rPr>
          <w:rFonts w:ascii="Arial" w:hAnsi="Arial" w:cs="Arial"/>
          <w:color w:val="C0504D" w:themeColor="accent2"/>
          <w:sz w:val="20"/>
          <w:szCs w:val="20"/>
          <w:lang w:eastAsia="en-US"/>
        </w:rPr>
        <w:t>červená</w:t>
      </w:r>
    </w:p>
    <w:p w:rsidR="00175428" w:rsidRPr="00F66A93" w:rsidRDefault="00175428" w:rsidP="00BC6530">
      <w:pPr>
        <w:spacing w:before="0" w:after="120"/>
        <w:contextualSpacing/>
        <w:rPr>
          <w:rFonts w:ascii="Arial" w:hAnsi="Arial" w:cs="Arial"/>
          <w:b/>
          <w:sz w:val="20"/>
          <w:szCs w:val="20"/>
          <w:lang w:eastAsia="en-US"/>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796"/>
        <w:gridCol w:w="2466"/>
        <w:gridCol w:w="1234"/>
        <w:gridCol w:w="1052"/>
        <w:gridCol w:w="740"/>
        <w:gridCol w:w="744"/>
        <w:gridCol w:w="1159"/>
        <w:gridCol w:w="1019"/>
      </w:tblGrid>
      <w:tr w:rsidR="00F66A93" w:rsidRPr="00F66A93" w:rsidTr="003C13CF">
        <w:trPr>
          <w:trHeight w:val="340"/>
          <w:tblHeader/>
          <w:jc w:val="center"/>
        </w:trPr>
        <w:tc>
          <w:tcPr>
            <w:tcW w:w="432" w:type="pct"/>
            <w:shd w:val="clear" w:color="auto" w:fill="002060"/>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bookmarkStart w:id="9" w:name="_Toc430273598"/>
            <w:r w:rsidRPr="00F66A93">
              <w:rPr>
                <w:rFonts w:ascii="Arial" w:eastAsia="Times New Roman" w:hAnsi="Arial" w:cs="Arial"/>
                <w:bCs/>
                <w:sz w:val="20"/>
                <w:szCs w:val="20"/>
              </w:rPr>
              <w:t>Kód</w:t>
            </w:r>
          </w:p>
        </w:tc>
        <w:tc>
          <w:tcPr>
            <w:tcW w:w="1339" w:type="pct"/>
            <w:shd w:val="clear" w:color="auto" w:fill="002060"/>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Zkrácený název uplatněných PP</w:t>
            </w:r>
          </w:p>
        </w:tc>
        <w:tc>
          <w:tcPr>
            <w:tcW w:w="670" w:type="pct"/>
            <w:shd w:val="clear" w:color="auto" w:fill="002060"/>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Stav plnění</w:t>
            </w:r>
          </w:p>
        </w:tc>
        <w:tc>
          <w:tcPr>
            <w:tcW w:w="571" w:type="pct"/>
            <w:shd w:val="clear" w:color="auto" w:fill="002060"/>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Rizikovost</w:t>
            </w:r>
          </w:p>
        </w:tc>
        <w:tc>
          <w:tcPr>
            <w:tcW w:w="402" w:type="pct"/>
            <w:shd w:val="clear" w:color="auto" w:fill="002060"/>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Stav plnění</w:t>
            </w:r>
          </w:p>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(v %)</w:t>
            </w:r>
          </w:p>
        </w:tc>
        <w:tc>
          <w:tcPr>
            <w:tcW w:w="404" w:type="pct"/>
            <w:shd w:val="clear" w:color="auto" w:fill="002060"/>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Gestor</w:t>
            </w:r>
          </w:p>
        </w:tc>
        <w:tc>
          <w:tcPr>
            <w:tcW w:w="629" w:type="pct"/>
            <w:shd w:val="clear" w:color="auto" w:fill="002060"/>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Nejzazší termín splnění</w:t>
            </w:r>
          </w:p>
        </w:tc>
        <w:tc>
          <w:tcPr>
            <w:tcW w:w="553" w:type="pct"/>
            <w:shd w:val="clear" w:color="auto" w:fill="002060"/>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Verifikace EK</w:t>
            </w:r>
          </w:p>
        </w:tc>
      </w:tr>
      <w:tr w:rsidR="00F66A93" w:rsidRPr="00F66A93" w:rsidTr="00A12A74">
        <w:trPr>
          <w:trHeight w:val="340"/>
          <w:jc w:val="center"/>
        </w:trPr>
        <w:tc>
          <w:tcPr>
            <w:tcW w:w="432" w:type="pct"/>
            <w:shd w:val="clear" w:color="auto" w:fill="EAF1DD" w:themeFill="accent3" w:themeFillTint="33"/>
            <w:vAlign w:val="center"/>
            <w:hideMark/>
          </w:tcPr>
          <w:p w:rsidR="00F66A93" w:rsidRPr="00175428"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175428">
              <w:rPr>
                <w:rFonts w:ascii="Arial" w:eastAsia="Times New Roman" w:hAnsi="Arial" w:cs="Arial"/>
                <w:color w:val="000000"/>
                <w:sz w:val="20"/>
                <w:szCs w:val="20"/>
              </w:rPr>
              <w:t>T.1.1</w:t>
            </w:r>
          </w:p>
        </w:tc>
        <w:tc>
          <w:tcPr>
            <w:tcW w:w="1339" w:type="pct"/>
            <w:shd w:val="clear" w:color="auto" w:fill="EAF1DD" w:themeFill="accent3" w:themeFillTint="33"/>
            <w:vAlign w:val="center"/>
            <w:hideMark/>
          </w:tcPr>
          <w:p w:rsidR="00F66A93" w:rsidRPr="00175428"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proofErr w:type="spellStart"/>
            <w:r w:rsidRPr="00175428">
              <w:rPr>
                <w:rFonts w:ascii="Arial" w:eastAsia="Times New Roman" w:hAnsi="Arial" w:cs="Arial"/>
                <w:color w:val="000000"/>
                <w:sz w:val="20"/>
                <w:szCs w:val="20"/>
              </w:rPr>
              <w:t>VaV</w:t>
            </w:r>
            <w:proofErr w:type="spellEnd"/>
            <w:r w:rsidRPr="00175428">
              <w:rPr>
                <w:rFonts w:ascii="Arial" w:eastAsia="Times New Roman" w:hAnsi="Arial" w:cs="Arial"/>
                <w:color w:val="000000"/>
                <w:sz w:val="20"/>
                <w:szCs w:val="20"/>
              </w:rPr>
              <w:t xml:space="preserve"> - inteligentní specializace</w:t>
            </w:r>
          </w:p>
        </w:tc>
        <w:tc>
          <w:tcPr>
            <w:tcW w:w="670" w:type="pct"/>
            <w:shd w:val="clear" w:color="auto" w:fill="EAF1DD" w:themeFill="accent3" w:themeFillTint="33"/>
            <w:vAlign w:val="center"/>
            <w:hideMark/>
          </w:tcPr>
          <w:p w:rsidR="00F66A93" w:rsidRPr="00175428" w:rsidRDefault="00175428" w:rsidP="00A12A74">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175428">
              <w:rPr>
                <w:rFonts w:ascii="Arial" w:eastAsia="Times New Roman" w:hAnsi="Arial" w:cs="Arial"/>
                <w:bCs/>
                <w:color w:val="000000"/>
                <w:sz w:val="20"/>
                <w:szCs w:val="20"/>
              </w:rPr>
              <w:t>A</w:t>
            </w:r>
            <w:r w:rsidR="00A12A74">
              <w:rPr>
                <w:rFonts w:ascii="Arial" w:eastAsia="Times New Roman" w:hAnsi="Arial" w:cs="Arial"/>
                <w:bCs/>
                <w:color w:val="000000"/>
                <w:sz w:val="20"/>
                <w:szCs w:val="20"/>
              </w:rPr>
              <w:t>no</w:t>
            </w:r>
          </w:p>
        </w:tc>
        <w:tc>
          <w:tcPr>
            <w:tcW w:w="571" w:type="pct"/>
            <w:shd w:val="clear" w:color="auto" w:fill="EAF1DD" w:themeFill="accent3" w:themeFillTint="33"/>
            <w:vAlign w:val="center"/>
          </w:tcPr>
          <w:p w:rsidR="00F66A93" w:rsidRPr="00175428" w:rsidRDefault="00F66A93" w:rsidP="00F66A93">
            <w:pPr>
              <w:spacing w:before="0"/>
              <w:jc w:val="center"/>
              <w:rPr>
                <w:rFonts w:ascii="Arial" w:eastAsia="Times New Roman" w:hAnsi="Arial" w:cs="Arial"/>
                <w:bCs/>
                <w:sz w:val="20"/>
                <w:szCs w:val="20"/>
              </w:rPr>
            </w:pPr>
          </w:p>
        </w:tc>
        <w:tc>
          <w:tcPr>
            <w:tcW w:w="402" w:type="pct"/>
            <w:shd w:val="clear" w:color="auto" w:fill="EAF1DD" w:themeFill="accent3" w:themeFillTint="33"/>
            <w:vAlign w:val="center"/>
            <w:hideMark/>
          </w:tcPr>
          <w:p w:rsidR="00F66A93" w:rsidRPr="00175428" w:rsidRDefault="00693CA9"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175428">
              <w:rPr>
                <w:rFonts w:ascii="Arial" w:eastAsia="Times New Roman" w:hAnsi="Arial" w:cs="Arial"/>
                <w:bCs/>
                <w:sz w:val="20"/>
                <w:szCs w:val="20"/>
              </w:rPr>
              <w:t>100</w:t>
            </w:r>
            <w:r w:rsidR="00F66A93" w:rsidRPr="00175428">
              <w:rPr>
                <w:rFonts w:ascii="Arial" w:eastAsia="Times New Roman" w:hAnsi="Arial" w:cs="Arial"/>
                <w:bCs/>
                <w:sz w:val="20"/>
                <w:szCs w:val="20"/>
              </w:rPr>
              <w:t>%</w:t>
            </w:r>
          </w:p>
        </w:tc>
        <w:tc>
          <w:tcPr>
            <w:tcW w:w="404" w:type="pct"/>
            <w:shd w:val="clear" w:color="auto" w:fill="EAF1DD" w:themeFill="accent3" w:themeFillTint="33"/>
            <w:vAlign w:val="center"/>
            <w:hideMark/>
          </w:tcPr>
          <w:p w:rsidR="00F66A93" w:rsidRPr="00175428"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175428">
              <w:rPr>
                <w:rFonts w:ascii="Arial" w:eastAsia="Times New Roman" w:hAnsi="Arial" w:cs="Arial"/>
                <w:bCs/>
                <w:sz w:val="20"/>
                <w:szCs w:val="20"/>
              </w:rPr>
              <w:t>ÚV</w:t>
            </w:r>
          </w:p>
        </w:tc>
        <w:tc>
          <w:tcPr>
            <w:tcW w:w="629" w:type="pct"/>
            <w:shd w:val="clear" w:color="auto" w:fill="EAF1DD" w:themeFill="accent3" w:themeFillTint="33"/>
            <w:vAlign w:val="center"/>
            <w:hideMark/>
          </w:tcPr>
          <w:p w:rsidR="00F66A93" w:rsidRPr="00175428" w:rsidRDefault="00F66A93" w:rsidP="009D184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175428">
              <w:rPr>
                <w:rFonts w:ascii="Arial" w:eastAsia="Times New Roman" w:hAnsi="Arial" w:cs="Arial"/>
                <w:bCs/>
                <w:sz w:val="20"/>
                <w:szCs w:val="20"/>
              </w:rPr>
              <w:t>30.9.2015</w:t>
            </w:r>
          </w:p>
        </w:tc>
        <w:tc>
          <w:tcPr>
            <w:tcW w:w="553" w:type="pct"/>
            <w:shd w:val="clear" w:color="auto" w:fill="EAF1DD" w:themeFill="accent3" w:themeFillTint="3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T.1.2</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proofErr w:type="spellStart"/>
            <w:r w:rsidRPr="00F66A93">
              <w:rPr>
                <w:rFonts w:ascii="Arial" w:eastAsia="Times New Roman" w:hAnsi="Arial" w:cs="Arial"/>
                <w:color w:val="000000"/>
                <w:sz w:val="20"/>
                <w:szCs w:val="20"/>
              </w:rPr>
              <w:t>VaV</w:t>
            </w:r>
            <w:proofErr w:type="spellEnd"/>
            <w:r w:rsidRPr="00F66A93">
              <w:rPr>
                <w:rFonts w:ascii="Arial" w:eastAsia="Times New Roman" w:hAnsi="Arial" w:cs="Arial"/>
                <w:color w:val="000000"/>
                <w:sz w:val="20"/>
                <w:szCs w:val="20"/>
              </w:rPr>
              <w:t xml:space="preserve"> - víceletý plán pro sestavování rozpočtu</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ÚV</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2"/>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T.2.1</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Digitální růst</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MPO</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F2DBDB"/>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sz w:val="20"/>
                <w:szCs w:val="20"/>
              </w:rPr>
            </w:pPr>
            <w:r w:rsidRPr="00F66A93">
              <w:rPr>
                <w:rFonts w:ascii="Arial" w:eastAsia="Times New Roman" w:hAnsi="Arial" w:cs="Arial"/>
                <w:sz w:val="20"/>
                <w:szCs w:val="20"/>
              </w:rPr>
              <w:t>T.2.2</w:t>
            </w:r>
          </w:p>
        </w:tc>
        <w:tc>
          <w:tcPr>
            <w:tcW w:w="1339" w:type="pct"/>
            <w:shd w:val="clear" w:color="auto" w:fill="F2DBDB"/>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sz w:val="20"/>
                <w:szCs w:val="20"/>
              </w:rPr>
            </w:pPr>
            <w:r w:rsidRPr="00F66A93">
              <w:rPr>
                <w:rFonts w:ascii="Arial" w:eastAsia="Times New Roman" w:hAnsi="Arial" w:cs="Arial"/>
                <w:sz w:val="20"/>
                <w:szCs w:val="20"/>
              </w:rPr>
              <w:t>Infrastruktura přístupových sítí nové generace</w:t>
            </w:r>
          </w:p>
        </w:tc>
        <w:tc>
          <w:tcPr>
            <w:tcW w:w="670" w:type="pct"/>
            <w:shd w:val="clear" w:color="auto" w:fill="F2DBDB"/>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Ne</w:t>
            </w:r>
          </w:p>
        </w:tc>
        <w:tc>
          <w:tcPr>
            <w:tcW w:w="571" w:type="pct"/>
            <w:shd w:val="clear" w:color="auto" w:fill="F2DBDB"/>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XXX</w:t>
            </w:r>
          </w:p>
        </w:tc>
        <w:tc>
          <w:tcPr>
            <w:tcW w:w="402" w:type="pct"/>
            <w:shd w:val="clear" w:color="auto" w:fill="F2DBDB"/>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0%</w:t>
            </w:r>
          </w:p>
        </w:tc>
        <w:tc>
          <w:tcPr>
            <w:tcW w:w="404" w:type="pct"/>
            <w:shd w:val="clear" w:color="auto" w:fill="F2DBDB"/>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MPO</w:t>
            </w:r>
          </w:p>
        </w:tc>
        <w:tc>
          <w:tcPr>
            <w:tcW w:w="629" w:type="pct"/>
            <w:shd w:val="clear" w:color="auto" w:fill="F2DBDB"/>
            <w:vAlign w:val="center"/>
            <w:hideMark/>
          </w:tcPr>
          <w:p w:rsidR="009D1843" w:rsidRDefault="009D184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
          <w:p w:rsidR="00F66A93" w:rsidRPr="00F66A93" w:rsidRDefault="00D47B8C" w:rsidP="009D184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30.6.2016</w:t>
            </w:r>
          </w:p>
        </w:tc>
        <w:tc>
          <w:tcPr>
            <w:tcW w:w="553" w:type="pct"/>
            <w:shd w:val="clear" w:color="auto" w:fill="F2DBDB"/>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T.3.1</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Podpora podnikání (SBA)</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67%</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F66A93">
              <w:rPr>
                <w:rFonts w:ascii="Arial" w:eastAsia="Times New Roman" w:hAnsi="Arial" w:cs="Arial"/>
                <w:bCs/>
                <w:sz w:val="20"/>
                <w:szCs w:val="20"/>
              </w:rPr>
              <w:t>MSp</w:t>
            </w:r>
            <w:proofErr w:type="spellEnd"/>
          </w:p>
        </w:tc>
        <w:tc>
          <w:tcPr>
            <w:tcW w:w="629" w:type="pct"/>
            <w:shd w:val="clear" w:color="auto" w:fill="DAEEF3"/>
            <w:vAlign w:val="center"/>
            <w:hideMark/>
          </w:tcPr>
          <w:p w:rsidR="00F66A93" w:rsidRPr="00F66A93" w:rsidRDefault="00BD3D8A" w:rsidP="00BD3D8A">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1</w:t>
            </w:r>
            <w:r w:rsidR="00F66A93" w:rsidRPr="00F66A93">
              <w:rPr>
                <w:rFonts w:ascii="Arial" w:eastAsia="Times New Roman" w:hAnsi="Arial" w:cs="Arial"/>
                <w:bCs/>
                <w:sz w:val="20"/>
                <w:szCs w:val="20"/>
              </w:rPr>
              <w:t>.</w:t>
            </w:r>
            <w:r>
              <w:rPr>
                <w:rFonts w:ascii="Arial" w:eastAsia="Times New Roman" w:hAnsi="Arial" w:cs="Arial"/>
                <w:bCs/>
                <w:sz w:val="20"/>
                <w:szCs w:val="20"/>
              </w:rPr>
              <w:t>2</w:t>
            </w:r>
            <w:r w:rsidR="00F66A93" w:rsidRPr="00F66A93">
              <w:rPr>
                <w:rFonts w:ascii="Arial" w:eastAsia="Times New Roman" w:hAnsi="Arial" w:cs="Arial"/>
                <w:bCs/>
                <w:sz w:val="20"/>
                <w:szCs w:val="20"/>
              </w:rPr>
              <w:t>.201</w:t>
            </w:r>
            <w:r>
              <w:rPr>
                <w:rFonts w:ascii="Arial" w:eastAsia="Times New Roman" w:hAnsi="Arial" w:cs="Arial"/>
                <w:bCs/>
                <w:sz w:val="20"/>
                <w:szCs w:val="20"/>
              </w:rPr>
              <w:t>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T.4.1</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Energetická účinnost</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50%</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MPO</w:t>
            </w:r>
          </w:p>
        </w:tc>
        <w:tc>
          <w:tcPr>
            <w:tcW w:w="62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1.1.2016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T.4.2</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Výroba tepla a elektřiny</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MPO</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T.4.3</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Obnovitelné zdroje energie</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MPO</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T.5.1</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Předcházení riziku a jeho řízení</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XX</w:t>
            </w:r>
          </w:p>
        </w:tc>
        <w:tc>
          <w:tcPr>
            <w:tcW w:w="402" w:type="pct"/>
            <w:shd w:val="clear" w:color="auto" w:fill="DAEEF3"/>
            <w:vAlign w:val="center"/>
            <w:hideMark/>
          </w:tcPr>
          <w:p w:rsidR="00F66A93" w:rsidRPr="00F66A93" w:rsidRDefault="00851225"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40</w:t>
            </w:r>
            <w:r w:rsidR="00F66A93" w:rsidRPr="00F66A93">
              <w:rPr>
                <w:rFonts w:ascii="Arial" w:eastAsia="Times New Roman" w:hAnsi="Arial" w:cs="Arial"/>
                <w:bCs/>
                <w:sz w:val="20"/>
                <w:szCs w:val="20"/>
              </w:rPr>
              <w:t>%</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MŽP</w:t>
            </w:r>
          </w:p>
        </w:tc>
        <w:tc>
          <w:tcPr>
            <w:tcW w:w="62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31.12.2015</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T.6.1</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Vodní hospodářství</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25%</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MŽP+</w:t>
            </w:r>
          </w:p>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F66A93">
              <w:rPr>
                <w:rFonts w:ascii="Arial" w:eastAsia="Times New Roman" w:hAnsi="Arial" w:cs="Arial"/>
                <w:bCs/>
                <w:sz w:val="20"/>
                <w:szCs w:val="20"/>
              </w:rPr>
              <w:t>MZe</w:t>
            </w:r>
            <w:proofErr w:type="spellEnd"/>
          </w:p>
        </w:tc>
        <w:tc>
          <w:tcPr>
            <w:tcW w:w="62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31.12.2016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T.6.2</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Odpadové hospodářství</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50%</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MŽP</w:t>
            </w:r>
          </w:p>
        </w:tc>
        <w:tc>
          <w:tcPr>
            <w:tcW w:w="62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31.12.2016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EZFRV 4. 1</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Dobrý zemědělský a environmentální stav</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F66A93">
              <w:rPr>
                <w:rFonts w:ascii="Arial" w:eastAsia="Times New Roman" w:hAnsi="Arial" w:cs="Arial"/>
                <w:bCs/>
                <w:sz w:val="20"/>
                <w:szCs w:val="20"/>
              </w:rPr>
              <w:t>MZe</w:t>
            </w:r>
            <w:proofErr w:type="spellEnd"/>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5"/>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EZFRV 4. 2</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Minimální požadavky na hnojiva a přípravky</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F66A93">
              <w:rPr>
                <w:rFonts w:ascii="Arial" w:eastAsia="Times New Roman" w:hAnsi="Arial" w:cs="Arial"/>
                <w:bCs/>
                <w:sz w:val="20"/>
                <w:szCs w:val="20"/>
              </w:rPr>
              <w:t>MZe</w:t>
            </w:r>
            <w:proofErr w:type="spellEnd"/>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6"/>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EZFRV 4. 3</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Jiné příslušné vnitrostátní normy</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F66A93">
              <w:rPr>
                <w:rFonts w:ascii="Arial" w:eastAsia="Times New Roman" w:hAnsi="Arial" w:cs="Arial"/>
                <w:bCs/>
                <w:sz w:val="20"/>
                <w:szCs w:val="20"/>
              </w:rPr>
              <w:t>MZe</w:t>
            </w:r>
            <w:proofErr w:type="spellEnd"/>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7"/>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ENRF</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Víceletý národní strategický plán akvakultury</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F66A93">
              <w:rPr>
                <w:rFonts w:ascii="Arial" w:eastAsia="Times New Roman" w:hAnsi="Arial" w:cs="Arial"/>
                <w:bCs/>
                <w:sz w:val="20"/>
                <w:szCs w:val="20"/>
              </w:rPr>
              <w:t>MZe</w:t>
            </w:r>
            <w:proofErr w:type="spellEnd"/>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8"/>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ENRF</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Správní kapacita rybolovu</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F66A93">
              <w:rPr>
                <w:rFonts w:ascii="Arial" w:eastAsia="Times New Roman" w:hAnsi="Arial" w:cs="Arial"/>
                <w:bCs/>
                <w:sz w:val="20"/>
                <w:szCs w:val="20"/>
              </w:rPr>
              <w:t>MZe</w:t>
            </w:r>
            <w:proofErr w:type="spellEnd"/>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T.7.1</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Silniční doprava</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83%</w:t>
            </w:r>
            <w:r w:rsidRPr="00F66A93">
              <w:rPr>
                <w:rFonts w:ascii="Arial" w:eastAsia="Times New Roman" w:hAnsi="Arial" w:cs="Arial"/>
                <w:bCs/>
                <w:sz w:val="20"/>
                <w:szCs w:val="20"/>
                <w:vertAlign w:val="superscript"/>
              </w:rPr>
              <w:footnoteReference w:id="2"/>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MD</w:t>
            </w:r>
          </w:p>
        </w:tc>
        <w:tc>
          <w:tcPr>
            <w:tcW w:w="62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30.9.2016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T.7.2</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Železniční doprava</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25%</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MD</w:t>
            </w:r>
          </w:p>
        </w:tc>
        <w:tc>
          <w:tcPr>
            <w:tcW w:w="62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30.9.2016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lastRenderedPageBreak/>
              <w:t>T.7.3</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Ostatní doprava</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50%</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MD</w:t>
            </w:r>
          </w:p>
        </w:tc>
        <w:tc>
          <w:tcPr>
            <w:tcW w:w="62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30.9.2016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T.7.4</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Energetické sítě</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MPO</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T.8.1</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Aktivní politika zaměstnanosti</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MPSV</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T.8.2</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Samostatná výdělečná činnost, podnikání a zakládání firem</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highlight w:val="green"/>
              </w:rPr>
            </w:pPr>
            <w:r w:rsidRPr="00F66A93">
              <w:rPr>
                <w:rFonts w:ascii="Arial" w:eastAsia="Times New Roman" w:hAnsi="Arial" w:cs="Arial"/>
                <w:bCs/>
                <w:sz w:val="20"/>
                <w:szCs w:val="20"/>
              </w:rPr>
              <w:t>75%</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F66A93">
              <w:rPr>
                <w:rFonts w:ascii="Arial" w:eastAsia="Times New Roman" w:hAnsi="Arial" w:cs="Arial"/>
                <w:bCs/>
                <w:sz w:val="20"/>
                <w:szCs w:val="20"/>
              </w:rPr>
              <w:t>MSp</w:t>
            </w:r>
            <w:proofErr w:type="spellEnd"/>
          </w:p>
        </w:tc>
        <w:tc>
          <w:tcPr>
            <w:tcW w:w="629" w:type="pct"/>
            <w:shd w:val="clear" w:color="auto" w:fill="DAEEF3"/>
            <w:vAlign w:val="center"/>
            <w:hideMark/>
          </w:tcPr>
          <w:p w:rsidR="00F66A93" w:rsidRPr="00F66A93" w:rsidRDefault="00BD3D8A" w:rsidP="00BD3D8A">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1</w:t>
            </w:r>
            <w:r w:rsidR="00F66A93" w:rsidRPr="00F66A93">
              <w:rPr>
                <w:rFonts w:ascii="Arial" w:eastAsia="Times New Roman" w:hAnsi="Arial" w:cs="Arial"/>
                <w:bCs/>
                <w:sz w:val="20"/>
                <w:szCs w:val="20"/>
              </w:rPr>
              <w:t>.</w:t>
            </w:r>
            <w:r>
              <w:rPr>
                <w:rFonts w:ascii="Arial" w:eastAsia="Times New Roman" w:hAnsi="Arial" w:cs="Arial"/>
                <w:bCs/>
                <w:sz w:val="20"/>
                <w:szCs w:val="20"/>
              </w:rPr>
              <w:t>2</w:t>
            </w:r>
            <w:r w:rsidR="00F66A93" w:rsidRPr="00F66A93">
              <w:rPr>
                <w:rFonts w:ascii="Arial" w:eastAsia="Times New Roman" w:hAnsi="Arial" w:cs="Arial"/>
                <w:bCs/>
                <w:sz w:val="20"/>
                <w:szCs w:val="20"/>
              </w:rPr>
              <w:t>.201</w:t>
            </w:r>
            <w:r>
              <w:rPr>
                <w:rFonts w:ascii="Arial" w:eastAsia="Times New Roman" w:hAnsi="Arial" w:cs="Arial"/>
                <w:bCs/>
                <w:sz w:val="20"/>
                <w:szCs w:val="20"/>
              </w:rPr>
              <w:t>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T.8.3</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Reforma institucí trhu práce</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MPSV</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851225">
        <w:trPr>
          <w:trHeight w:val="340"/>
          <w:jc w:val="center"/>
        </w:trPr>
        <w:tc>
          <w:tcPr>
            <w:tcW w:w="432" w:type="pct"/>
            <w:shd w:val="clear" w:color="auto" w:fill="EAF1DD" w:themeFill="accent3" w:themeFillTint="3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T.8.5</w:t>
            </w:r>
          </w:p>
        </w:tc>
        <w:tc>
          <w:tcPr>
            <w:tcW w:w="1339" w:type="pct"/>
            <w:shd w:val="clear" w:color="auto" w:fill="EAF1DD" w:themeFill="accent3" w:themeFillTint="3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Pomoc pracovníkům, podnikům a podnikatelům</w:t>
            </w:r>
          </w:p>
        </w:tc>
        <w:tc>
          <w:tcPr>
            <w:tcW w:w="670" w:type="pct"/>
            <w:shd w:val="clear" w:color="auto" w:fill="EAF1DD" w:themeFill="accent3" w:themeFillTint="33"/>
            <w:vAlign w:val="center"/>
            <w:hideMark/>
          </w:tcPr>
          <w:p w:rsidR="00F66A93" w:rsidRPr="00F66A93" w:rsidRDefault="00851225"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Pr>
                <w:rFonts w:ascii="Arial" w:eastAsia="Times New Roman" w:hAnsi="Arial" w:cs="Arial"/>
                <w:bCs/>
                <w:color w:val="000000"/>
                <w:sz w:val="20"/>
                <w:szCs w:val="20"/>
              </w:rPr>
              <w:t>Ano</w:t>
            </w:r>
          </w:p>
        </w:tc>
        <w:tc>
          <w:tcPr>
            <w:tcW w:w="571" w:type="pct"/>
            <w:shd w:val="clear" w:color="auto" w:fill="EAF1DD" w:themeFill="accent3" w:themeFillTint="33"/>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themeFill="accent3" w:themeFillTint="33"/>
            <w:vAlign w:val="center"/>
            <w:hideMark/>
          </w:tcPr>
          <w:p w:rsidR="00F66A93" w:rsidRPr="00F66A93" w:rsidRDefault="00851225"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10</w:t>
            </w:r>
            <w:r w:rsidR="00F66A93" w:rsidRPr="00F66A93">
              <w:rPr>
                <w:rFonts w:ascii="Arial" w:eastAsia="Times New Roman" w:hAnsi="Arial" w:cs="Arial"/>
                <w:bCs/>
                <w:sz w:val="20"/>
                <w:szCs w:val="20"/>
              </w:rPr>
              <w:t>0%</w:t>
            </w:r>
          </w:p>
        </w:tc>
        <w:tc>
          <w:tcPr>
            <w:tcW w:w="404" w:type="pct"/>
            <w:shd w:val="clear" w:color="auto" w:fill="EAF1DD" w:themeFill="accent3" w:themeFillTint="3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MPSV</w:t>
            </w:r>
          </w:p>
        </w:tc>
        <w:tc>
          <w:tcPr>
            <w:tcW w:w="629" w:type="pct"/>
            <w:shd w:val="clear" w:color="auto" w:fill="EAF1DD" w:themeFill="accent3" w:themeFillTint="33"/>
            <w:vAlign w:val="center"/>
            <w:hideMark/>
          </w:tcPr>
          <w:p w:rsidR="00F66A93" w:rsidRPr="00334AF9" w:rsidRDefault="00851225"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w:t>
            </w:r>
          </w:p>
        </w:tc>
        <w:tc>
          <w:tcPr>
            <w:tcW w:w="553" w:type="pct"/>
            <w:shd w:val="clear" w:color="auto" w:fill="EAF1DD" w:themeFill="accent3" w:themeFillTint="3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T.8.6</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Podpora zaměstnanosti mladých</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MPSV</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T.9.1</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Snižovaní chudoby</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MPSV</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T.9.2</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Politika začleňování Romů</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84%</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ÚV</w:t>
            </w:r>
          </w:p>
        </w:tc>
        <w:tc>
          <w:tcPr>
            <w:tcW w:w="62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31.3.2016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T.9.3</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Zdraví</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F66A93">
              <w:rPr>
                <w:rFonts w:ascii="Arial" w:eastAsia="Times New Roman" w:hAnsi="Arial" w:cs="Arial"/>
                <w:bCs/>
                <w:sz w:val="20"/>
                <w:szCs w:val="20"/>
              </w:rPr>
              <w:t>MZdr</w:t>
            </w:r>
            <w:proofErr w:type="spellEnd"/>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T.10.1</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Ukončování školní docházky</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MŠMT</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T.10.2</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Vysokoškolské vzdělání</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MŠMT</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T.10.3</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Celoživotní učení</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MŠMT</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T.10.4</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Odborné vzdělávání a příprava</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MŠMT</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T.11</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Veřejná správa</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50%</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MV</w:t>
            </w:r>
          </w:p>
        </w:tc>
        <w:tc>
          <w:tcPr>
            <w:tcW w:w="62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31.12.2016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O.1</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Nediskriminace</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ÚV</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O.2</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Rovnost mužů a žen</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ÚV</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O.3</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Zdravotní postižení</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MPSV</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O.4</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Veřejné zakázky</w:t>
            </w:r>
          </w:p>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50%</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MMR</w:t>
            </w:r>
          </w:p>
        </w:tc>
        <w:tc>
          <w:tcPr>
            <w:tcW w:w="62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31.12.2016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O.5</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Veřejná podpora</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66%</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MMR</w:t>
            </w:r>
          </w:p>
        </w:tc>
        <w:tc>
          <w:tcPr>
            <w:tcW w:w="62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30.6.2016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F66A93" w:rsidRPr="00F66A93" w:rsidTr="003C13CF">
        <w:trPr>
          <w:trHeight w:val="340"/>
          <w:jc w:val="center"/>
        </w:trPr>
        <w:tc>
          <w:tcPr>
            <w:tcW w:w="43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O.6</w:t>
            </w:r>
          </w:p>
        </w:tc>
        <w:tc>
          <w:tcPr>
            <w:tcW w:w="133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EIA/SEA</w:t>
            </w:r>
          </w:p>
        </w:tc>
        <w:tc>
          <w:tcPr>
            <w:tcW w:w="670"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571" w:type="pct"/>
            <w:shd w:val="clear" w:color="auto" w:fill="EAF1DD"/>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w:t>
            </w:r>
          </w:p>
        </w:tc>
        <w:tc>
          <w:tcPr>
            <w:tcW w:w="402"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404"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MŽP</w:t>
            </w:r>
          </w:p>
        </w:tc>
        <w:tc>
          <w:tcPr>
            <w:tcW w:w="629" w:type="pct"/>
            <w:shd w:val="clear" w:color="auto" w:fill="EAF1DD"/>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553" w:type="pct"/>
            <w:shd w:val="clear" w:color="auto" w:fill="EAF1DD"/>
            <w:vAlign w:val="center"/>
          </w:tcPr>
          <w:p w:rsidR="00F66A93" w:rsidRPr="00F66A93" w:rsidRDefault="00F66A93" w:rsidP="00F66A93">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F66A93" w:rsidRPr="00F66A93" w:rsidTr="003C13CF">
        <w:trPr>
          <w:trHeight w:val="340"/>
          <w:jc w:val="center"/>
        </w:trPr>
        <w:tc>
          <w:tcPr>
            <w:tcW w:w="43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O.7</w:t>
            </w:r>
          </w:p>
        </w:tc>
        <w:tc>
          <w:tcPr>
            <w:tcW w:w="133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Statistické systémy a ukazatele výsledků</w:t>
            </w:r>
          </w:p>
        </w:tc>
        <w:tc>
          <w:tcPr>
            <w:tcW w:w="670"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571" w:type="pct"/>
            <w:shd w:val="clear" w:color="auto" w:fill="DAEEF3"/>
            <w:vAlign w:val="center"/>
          </w:tcPr>
          <w:p w:rsidR="00F66A93" w:rsidRPr="00F66A93" w:rsidRDefault="00F66A93" w:rsidP="00F66A93">
            <w:pPr>
              <w:spacing w:before="0"/>
              <w:jc w:val="center"/>
              <w:rPr>
                <w:rFonts w:ascii="Arial" w:eastAsia="Times New Roman" w:hAnsi="Arial" w:cs="Arial"/>
                <w:bCs/>
                <w:sz w:val="20"/>
                <w:szCs w:val="20"/>
              </w:rPr>
            </w:pPr>
            <w:r w:rsidRPr="00F66A93">
              <w:rPr>
                <w:rFonts w:ascii="Arial" w:eastAsia="Times New Roman" w:hAnsi="Arial" w:cs="Arial"/>
                <w:bCs/>
                <w:sz w:val="20"/>
                <w:szCs w:val="20"/>
              </w:rPr>
              <w:t>XX</w:t>
            </w:r>
          </w:p>
        </w:tc>
        <w:tc>
          <w:tcPr>
            <w:tcW w:w="402"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33%</w:t>
            </w:r>
          </w:p>
        </w:tc>
        <w:tc>
          <w:tcPr>
            <w:tcW w:w="404"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MMR</w:t>
            </w:r>
          </w:p>
        </w:tc>
        <w:tc>
          <w:tcPr>
            <w:tcW w:w="629" w:type="pct"/>
            <w:shd w:val="clear" w:color="auto" w:fill="DAEEF3"/>
            <w:vAlign w:val="center"/>
            <w:hideMark/>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30.6.2016</w:t>
            </w:r>
          </w:p>
        </w:tc>
        <w:tc>
          <w:tcPr>
            <w:tcW w:w="553" w:type="pct"/>
            <w:shd w:val="clear" w:color="auto" w:fill="DAEEF3"/>
            <w:vAlign w:val="center"/>
          </w:tcPr>
          <w:p w:rsidR="00F66A93" w:rsidRPr="00F66A93" w:rsidRDefault="00F66A93" w:rsidP="00F66A9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bookmarkEnd w:id="9"/>
    </w:tbl>
    <w:p w:rsidR="00F66A93" w:rsidRPr="00F66A93" w:rsidRDefault="00F66A93" w:rsidP="00F66A93">
      <w:pPr>
        <w:rPr>
          <w:rFonts w:eastAsiaTheme="majorEastAsia"/>
        </w:rPr>
      </w:pPr>
    </w:p>
    <w:p w:rsidR="00F66A93" w:rsidRPr="00334AF9" w:rsidRDefault="00334AF9" w:rsidP="00F66A93">
      <w:pPr>
        <w:keepNext/>
        <w:keepLines/>
        <w:spacing w:before="0"/>
        <w:outlineLvl w:val="2"/>
        <w:rPr>
          <w:rFonts w:ascii="Arial" w:eastAsiaTheme="majorEastAsia" w:hAnsi="Arial" w:cs="Arial"/>
          <w:b/>
          <w:bCs/>
        </w:rPr>
      </w:pPr>
      <w:r>
        <w:rPr>
          <w:rFonts w:ascii="Arial" w:eastAsiaTheme="majorEastAsia" w:hAnsi="Arial" w:cs="Arial"/>
          <w:b/>
          <w:bCs/>
        </w:rPr>
        <w:t>2.2</w:t>
      </w:r>
      <w:r w:rsidR="00F66A93" w:rsidRPr="00334AF9">
        <w:rPr>
          <w:rFonts w:ascii="Arial" w:eastAsiaTheme="majorEastAsia" w:hAnsi="Arial" w:cs="Arial"/>
          <w:b/>
          <w:bCs/>
        </w:rPr>
        <w:t xml:space="preserve"> Podrobný popis naplňování některých předběžných podmínek</w:t>
      </w:r>
    </w:p>
    <w:p w:rsidR="00F66A93" w:rsidRPr="00F66A93" w:rsidRDefault="00F66A93" w:rsidP="00F66A93">
      <w:pPr>
        <w:spacing w:before="0"/>
        <w:rPr>
          <w:rFonts w:ascii="Arial" w:eastAsia="Times New Roman" w:hAnsi="Arial" w:cs="Arial"/>
          <w:b/>
          <w:sz w:val="20"/>
          <w:szCs w:val="20"/>
          <w:u w:val="single"/>
          <w:bdr w:val="none" w:sz="0" w:space="0" w:color="auto" w:frame="1"/>
        </w:rPr>
      </w:pPr>
    </w:p>
    <w:p w:rsidR="00F66A93" w:rsidRPr="00F66A93" w:rsidRDefault="00F66A93" w:rsidP="00F66A93">
      <w:pPr>
        <w:spacing w:before="0"/>
        <w:rPr>
          <w:rFonts w:ascii="Arial" w:eastAsia="Times New Roman" w:hAnsi="Arial" w:cs="Arial"/>
          <w:b/>
          <w:sz w:val="20"/>
          <w:szCs w:val="20"/>
          <w:u w:val="single"/>
          <w:bdr w:val="none" w:sz="0" w:space="0" w:color="auto" w:frame="1"/>
        </w:rPr>
      </w:pPr>
      <w:r w:rsidRPr="00F66A93">
        <w:rPr>
          <w:rFonts w:ascii="Arial" w:eastAsia="Times New Roman" w:hAnsi="Arial" w:cs="Arial"/>
          <w:b/>
          <w:sz w:val="20"/>
          <w:szCs w:val="20"/>
          <w:u w:val="single"/>
          <w:bdr w:val="none" w:sz="0" w:space="0" w:color="auto" w:frame="1"/>
        </w:rPr>
        <w:t>OPP 4 - Veřejné zakázky</w:t>
      </w:r>
    </w:p>
    <w:p w:rsidR="00BC6530" w:rsidRDefault="00F66A93" w:rsidP="00BC6530">
      <w:pPr>
        <w:spacing w:before="0"/>
        <w:rPr>
          <w:rFonts w:ascii="Arial" w:eastAsia="Times New Roman" w:hAnsi="Arial" w:cs="Arial"/>
          <w:sz w:val="20"/>
          <w:szCs w:val="20"/>
          <w:bdr w:val="none" w:sz="0" w:space="0" w:color="auto" w:frame="1"/>
        </w:rPr>
      </w:pPr>
      <w:r w:rsidRPr="00F66A93">
        <w:rPr>
          <w:rFonts w:ascii="Arial" w:eastAsia="Times New Roman" w:hAnsi="Arial" w:cs="Arial"/>
          <w:sz w:val="20"/>
          <w:szCs w:val="20"/>
          <w:bdr w:val="none" w:sz="0" w:space="0" w:color="auto" w:frame="1"/>
        </w:rPr>
        <w:t>(gestor: Ministerstvo pro místní rozvoj)</w:t>
      </w:r>
    </w:p>
    <w:p w:rsidR="001106C4" w:rsidRPr="001106C4" w:rsidRDefault="00F66A93" w:rsidP="001106C4">
      <w:pPr>
        <w:pStyle w:val="Odstavecseseznamem"/>
        <w:numPr>
          <w:ilvl w:val="0"/>
          <w:numId w:val="27"/>
        </w:numPr>
        <w:spacing w:before="0"/>
        <w:ind w:left="284" w:hanging="284"/>
        <w:rPr>
          <w:rFonts w:ascii="Arial" w:eastAsia="Times New Roman" w:hAnsi="Arial" w:cs="Arial"/>
          <w:sz w:val="20"/>
          <w:szCs w:val="20"/>
          <w:bdr w:val="none" w:sz="0" w:space="0" w:color="auto" w:frame="1"/>
        </w:rPr>
      </w:pPr>
      <w:r w:rsidRPr="00BC6530">
        <w:rPr>
          <w:rFonts w:ascii="Arial" w:eastAsia="Times New Roman" w:hAnsi="Arial" w:cs="Arial"/>
          <w:sz w:val="20"/>
          <w:szCs w:val="20"/>
          <w:bdr w:val="none" w:sz="0" w:space="0" w:color="auto" w:frame="1"/>
        </w:rPr>
        <w:t>Na jednání Legislativní rady vlády byl dne 17. září 2015 předložen návrh zákona o zadávání veřejných zakázek. Vlád</w:t>
      </w:r>
      <w:r w:rsidR="003D3715" w:rsidRPr="00BC6530">
        <w:rPr>
          <w:rFonts w:ascii="Arial" w:eastAsia="Times New Roman" w:hAnsi="Arial" w:cs="Arial"/>
          <w:sz w:val="20"/>
          <w:szCs w:val="20"/>
          <w:bdr w:val="none" w:sz="0" w:space="0" w:color="auto" w:frame="1"/>
        </w:rPr>
        <w:t>a</w:t>
      </w:r>
      <w:r w:rsidRPr="00BC6530">
        <w:rPr>
          <w:rFonts w:ascii="Arial" w:eastAsia="Times New Roman" w:hAnsi="Arial" w:cs="Arial"/>
          <w:sz w:val="20"/>
          <w:szCs w:val="20"/>
          <w:bdr w:val="none" w:sz="0" w:space="0" w:color="auto" w:frame="1"/>
        </w:rPr>
        <w:t xml:space="preserve"> návrh </w:t>
      </w:r>
      <w:r w:rsidR="00176479" w:rsidRPr="00BC6530">
        <w:rPr>
          <w:rFonts w:ascii="Arial" w:eastAsia="Times New Roman" w:hAnsi="Arial" w:cs="Arial"/>
          <w:sz w:val="20"/>
          <w:szCs w:val="20"/>
          <w:bdr w:val="none" w:sz="0" w:space="0" w:color="auto" w:frame="1"/>
        </w:rPr>
        <w:t>schválila dne 5. října 2015</w:t>
      </w:r>
      <w:r w:rsidR="007C4781" w:rsidRPr="00BC6530">
        <w:rPr>
          <w:rFonts w:ascii="Arial" w:eastAsia="Times New Roman" w:hAnsi="Arial" w:cs="Arial"/>
          <w:sz w:val="20"/>
          <w:szCs w:val="20"/>
          <w:bdr w:val="none" w:sz="0" w:space="0" w:color="auto" w:frame="1"/>
        </w:rPr>
        <w:t xml:space="preserve">. </w:t>
      </w:r>
      <w:r w:rsidR="00263034" w:rsidRPr="00BC6530">
        <w:rPr>
          <w:rFonts w:ascii="Arial" w:eastAsia="Times New Roman" w:hAnsi="Arial" w:cs="Arial"/>
          <w:sz w:val="20"/>
          <w:szCs w:val="20"/>
          <w:bdr w:val="none" w:sz="0" w:space="0" w:color="auto" w:frame="1"/>
        </w:rPr>
        <w:t>Návrh by měl být zařazen do prvního čtení v Poslanecké sněmovně pravděpodobně 25. listopadu 2015</w:t>
      </w:r>
      <w:r w:rsidR="00176479" w:rsidRPr="00BC6530">
        <w:rPr>
          <w:rFonts w:ascii="Arial" w:eastAsia="Times New Roman" w:hAnsi="Arial" w:cs="Arial"/>
          <w:sz w:val="20"/>
          <w:szCs w:val="20"/>
          <w:bdr w:val="none" w:sz="0" w:space="0" w:color="auto" w:frame="1"/>
        </w:rPr>
        <w:t xml:space="preserve"> </w:t>
      </w:r>
    </w:p>
    <w:p w:rsidR="00F66A93" w:rsidRPr="00F66A93" w:rsidRDefault="00F66A93" w:rsidP="00F66A93">
      <w:pPr>
        <w:keepNext/>
        <w:spacing w:before="0"/>
        <w:rPr>
          <w:rFonts w:ascii="Arial" w:eastAsia="Times New Roman" w:hAnsi="Arial" w:cs="Arial"/>
          <w:b/>
          <w:sz w:val="20"/>
          <w:szCs w:val="20"/>
          <w:u w:val="single"/>
        </w:rPr>
      </w:pPr>
      <w:r w:rsidRPr="00F66A93">
        <w:rPr>
          <w:rFonts w:ascii="Arial" w:eastAsia="Times New Roman" w:hAnsi="Arial" w:cs="Arial"/>
          <w:b/>
          <w:sz w:val="20"/>
          <w:szCs w:val="20"/>
          <w:u w:val="single"/>
        </w:rPr>
        <w:t>OPP 6 - EIA</w:t>
      </w:r>
    </w:p>
    <w:p w:rsidR="00F66A93" w:rsidRPr="00F66A93" w:rsidRDefault="00F66A93" w:rsidP="00F66A93">
      <w:pPr>
        <w:keepNext/>
        <w:spacing w:before="0"/>
        <w:rPr>
          <w:rFonts w:ascii="Arial" w:eastAsia="Times New Roman" w:hAnsi="Arial" w:cs="Arial"/>
          <w:sz w:val="20"/>
          <w:szCs w:val="20"/>
        </w:rPr>
      </w:pPr>
      <w:r w:rsidRPr="00F66A93">
        <w:rPr>
          <w:rFonts w:ascii="Arial" w:eastAsia="Times New Roman" w:hAnsi="Arial" w:cs="Arial"/>
          <w:sz w:val="20"/>
          <w:szCs w:val="20"/>
        </w:rPr>
        <w:t>(gestor: Ministerstvo životního prostředí)</w:t>
      </w:r>
    </w:p>
    <w:p w:rsidR="00F66A93" w:rsidRPr="00F66A93" w:rsidRDefault="00F66A93" w:rsidP="00F66A93">
      <w:pPr>
        <w:keepNext/>
        <w:numPr>
          <w:ilvl w:val="0"/>
          <w:numId w:val="4"/>
        </w:numPr>
        <w:spacing w:before="0"/>
        <w:ind w:left="284" w:hanging="284"/>
        <w:rPr>
          <w:rFonts w:ascii="Arial" w:hAnsi="Arial" w:cs="Arial"/>
          <w:sz w:val="20"/>
          <w:szCs w:val="20"/>
          <w:bdr w:val="none" w:sz="0" w:space="0" w:color="auto" w:frame="1"/>
        </w:rPr>
      </w:pPr>
      <w:r w:rsidRPr="00F66A93">
        <w:rPr>
          <w:rFonts w:ascii="Arial" w:hAnsi="Arial" w:cs="Arial"/>
          <w:sz w:val="20"/>
          <w:szCs w:val="20"/>
          <w:bdr w:val="none" w:sz="0" w:space="0" w:color="auto" w:frame="1"/>
        </w:rPr>
        <w:t xml:space="preserve">Na základě nesprávné transpozice směrnice EIA vznesla EK požadavek na provedení vyhodnocení projektů, k nimž bylo vydáno stanovisko k posouzení vlivů záměru na životní prostředí podle zákona č. 100/2001 Sb. </w:t>
      </w:r>
    </w:p>
    <w:p w:rsidR="00F66A93" w:rsidRPr="00F66A93" w:rsidRDefault="00F66A93" w:rsidP="00F66A93">
      <w:pPr>
        <w:keepNext/>
        <w:numPr>
          <w:ilvl w:val="0"/>
          <w:numId w:val="4"/>
        </w:numPr>
        <w:spacing w:before="0"/>
        <w:ind w:left="284" w:hanging="284"/>
        <w:rPr>
          <w:rFonts w:ascii="Arial" w:hAnsi="Arial" w:cs="Arial"/>
          <w:sz w:val="20"/>
          <w:szCs w:val="20"/>
          <w:bdr w:val="none" w:sz="0" w:space="0" w:color="auto" w:frame="1"/>
        </w:rPr>
      </w:pPr>
      <w:r w:rsidRPr="00F66A93">
        <w:rPr>
          <w:rFonts w:ascii="Arial" w:hAnsi="Arial" w:cs="Arial"/>
          <w:sz w:val="20"/>
          <w:szCs w:val="20"/>
          <w:bdr w:val="none" w:sz="0" w:space="0" w:color="auto" w:frame="1"/>
        </w:rPr>
        <w:t xml:space="preserve">Usnesením vlády ČR č. 1078/2014 ze dne 15. prosince 2014 byla ustanovena meziresortní pracovní skupina (MPS EIA) pro vyhodnocení projektů z hlediska souladu jejich povolovacího </w:t>
      </w:r>
      <w:r w:rsidRPr="00F66A93">
        <w:rPr>
          <w:rFonts w:ascii="Arial" w:hAnsi="Arial" w:cs="Arial"/>
          <w:sz w:val="20"/>
          <w:szCs w:val="20"/>
          <w:bdr w:val="none" w:sz="0" w:space="0" w:color="auto" w:frame="1"/>
        </w:rPr>
        <w:lastRenderedPageBreak/>
        <w:t>procesu s požadavky směrnice EIA, která posuzuje dosud neschválené velké projekty, projekty v šetření EU Pilot a 2% vzorek ostatních projektů, u kterých byl proces EIA zahájen po datu přistoupení České republiky k Evropské unii.</w:t>
      </w:r>
    </w:p>
    <w:p w:rsidR="00F66A93" w:rsidRPr="00F66A93" w:rsidRDefault="00F66A93" w:rsidP="00F66A93">
      <w:pPr>
        <w:keepNext/>
        <w:numPr>
          <w:ilvl w:val="0"/>
          <w:numId w:val="4"/>
        </w:numPr>
        <w:spacing w:before="0"/>
        <w:ind w:left="284" w:hanging="284"/>
        <w:rPr>
          <w:rFonts w:ascii="Arial" w:hAnsi="Arial" w:cs="Arial"/>
          <w:sz w:val="20"/>
          <w:szCs w:val="20"/>
          <w:bdr w:val="none" w:sz="0" w:space="0" w:color="auto" w:frame="1"/>
        </w:rPr>
      </w:pPr>
      <w:r w:rsidRPr="00F66A93">
        <w:rPr>
          <w:rFonts w:ascii="Arial" w:hAnsi="Arial" w:cs="Arial"/>
          <w:sz w:val="20"/>
          <w:szCs w:val="20"/>
          <w:bdr w:val="none" w:sz="0" w:space="0" w:color="auto" w:frame="1"/>
        </w:rPr>
        <w:t>Řídicí orgán OP Doprava obdržel v této souvislosti dne 20. října 2014 od EK dopis přerušující předkládání a schvalování velkých projektů. Ze strany EK bylo poukazováno zřejmé na neexistenci důkazů posuzování projektů a jejich změn v souladu se směrnicí EIA.</w:t>
      </w:r>
    </w:p>
    <w:p w:rsidR="00F66A93" w:rsidRPr="00F66A93" w:rsidRDefault="00F66A93" w:rsidP="00F66A93">
      <w:pPr>
        <w:keepNext/>
        <w:numPr>
          <w:ilvl w:val="0"/>
          <w:numId w:val="4"/>
        </w:numPr>
        <w:spacing w:before="0"/>
        <w:ind w:left="284" w:hanging="284"/>
        <w:rPr>
          <w:rFonts w:ascii="Arial" w:hAnsi="Arial" w:cs="Arial"/>
          <w:sz w:val="20"/>
          <w:szCs w:val="20"/>
          <w:bdr w:val="none" w:sz="0" w:space="0" w:color="auto" w:frame="1"/>
        </w:rPr>
      </w:pPr>
      <w:r w:rsidRPr="00F66A93">
        <w:rPr>
          <w:rFonts w:ascii="Arial" w:hAnsi="Arial" w:cs="Arial"/>
          <w:sz w:val="20"/>
          <w:szCs w:val="20"/>
          <w:bdr w:val="none" w:sz="0" w:space="0" w:color="auto" w:frame="1"/>
        </w:rPr>
        <w:t>ČR přislíbila, že do konce června 2015 dokončí přezkum velkých projektů z hlediska jejich souladu se směrnicí EIA a předloží dotčené projekty EK ke schválení. Tento termín se nepodařilo splnit.</w:t>
      </w:r>
    </w:p>
    <w:p w:rsidR="00F66A93" w:rsidRPr="00F66A93" w:rsidRDefault="00F66A93" w:rsidP="00F66A93">
      <w:pPr>
        <w:keepNext/>
        <w:numPr>
          <w:ilvl w:val="0"/>
          <w:numId w:val="4"/>
        </w:numPr>
        <w:spacing w:before="0"/>
        <w:ind w:left="284" w:hanging="284"/>
        <w:rPr>
          <w:rFonts w:ascii="Arial" w:hAnsi="Arial" w:cs="Arial"/>
          <w:sz w:val="20"/>
          <w:szCs w:val="20"/>
          <w:bdr w:val="none" w:sz="0" w:space="0" w:color="auto" w:frame="1"/>
        </w:rPr>
      </w:pPr>
      <w:r w:rsidRPr="00F66A93">
        <w:rPr>
          <w:rFonts w:ascii="Arial" w:hAnsi="Arial" w:cs="Arial"/>
          <w:sz w:val="20"/>
          <w:szCs w:val="20"/>
          <w:bdr w:val="none" w:sz="0" w:space="0" w:color="auto" w:frame="1"/>
        </w:rPr>
        <w:t>Ke konci září 2015 byly ze strany MŽP vydány závěry vyhodnocení změn u všech 23 projektů, přičemž u 22 z nich již vypršela lhůta pro vyjádření veřejnosti.</w:t>
      </w:r>
      <w:r w:rsidR="00F12591">
        <w:rPr>
          <w:rFonts w:ascii="Arial" w:hAnsi="Arial" w:cs="Arial"/>
          <w:sz w:val="20"/>
          <w:szCs w:val="20"/>
          <w:bdr w:val="none" w:sz="0" w:space="0" w:color="auto" w:frame="1"/>
        </w:rPr>
        <w:t xml:space="preserve"> K poslednímu z vyhodnocovaných projektů obdrželo MŽP </w:t>
      </w:r>
      <w:r w:rsidR="00DA5042">
        <w:rPr>
          <w:rFonts w:ascii="Arial" w:hAnsi="Arial" w:cs="Arial"/>
          <w:sz w:val="20"/>
          <w:szCs w:val="20"/>
          <w:bdr w:val="none" w:sz="0" w:space="0" w:color="auto" w:frame="1"/>
        </w:rPr>
        <w:t xml:space="preserve">několik </w:t>
      </w:r>
      <w:r w:rsidR="00F12591">
        <w:rPr>
          <w:rFonts w:ascii="Arial" w:hAnsi="Arial" w:cs="Arial"/>
          <w:sz w:val="20"/>
          <w:szCs w:val="20"/>
          <w:bdr w:val="none" w:sz="0" w:space="0" w:color="auto" w:frame="1"/>
        </w:rPr>
        <w:t>odvolání. MPS EIA aktuálně řeší jejich vypořádání.</w:t>
      </w:r>
      <w:r w:rsidR="00334AF9">
        <w:rPr>
          <w:rFonts w:ascii="Arial" w:hAnsi="Arial" w:cs="Arial"/>
          <w:sz w:val="20"/>
          <w:szCs w:val="20"/>
          <w:bdr w:val="none" w:sz="0" w:space="0" w:color="auto" w:frame="1"/>
        </w:rPr>
        <w:t xml:space="preserve"> </w:t>
      </w:r>
      <w:r w:rsidRPr="00F66A93">
        <w:rPr>
          <w:rFonts w:ascii="Arial" w:hAnsi="Arial" w:cs="Arial"/>
          <w:sz w:val="20"/>
          <w:szCs w:val="20"/>
          <w:bdr w:val="none" w:sz="0" w:space="0" w:color="auto" w:frame="1"/>
        </w:rPr>
        <w:t xml:space="preserve">MD předložilo EK </w:t>
      </w:r>
      <w:r w:rsidR="00334AF9">
        <w:rPr>
          <w:rFonts w:ascii="Arial" w:hAnsi="Arial" w:cs="Arial"/>
          <w:sz w:val="20"/>
          <w:szCs w:val="20"/>
          <w:bdr w:val="none" w:sz="0" w:space="0" w:color="auto" w:frame="1"/>
        </w:rPr>
        <w:br/>
      </w:r>
      <w:r w:rsidRPr="00F66A93">
        <w:rPr>
          <w:rFonts w:ascii="Arial" w:hAnsi="Arial" w:cs="Arial"/>
          <w:sz w:val="20"/>
          <w:szCs w:val="20"/>
          <w:bdr w:val="none" w:sz="0" w:space="0" w:color="auto" w:frame="1"/>
        </w:rPr>
        <w:t>k </w:t>
      </w:r>
      <w:r w:rsidR="00F12591">
        <w:rPr>
          <w:rFonts w:ascii="Arial" w:hAnsi="Arial" w:cs="Arial"/>
          <w:sz w:val="20"/>
          <w:szCs w:val="20"/>
          <w:bdr w:val="none" w:sz="0" w:space="0" w:color="auto" w:frame="1"/>
        </w:rPr>
        <w:t>9. říjnu</w:t>
      </w:r>
      <w:r w:rsidRPr="00F66A93">
        <w:rPr>
          <w:rFonts w:ascii="Arial" w:hAnsi="Arial" w:cs="Arial"/>
          <w:sz w:val="20"/>
          <w:szCs w:val="20"/>
          <w:bdr w:val="none" w:sz="0" w:space="0" w:color="auto" w:frame="1"/>
        </w:rPr>
        <w:t xml:space="preserve"> 2015 celkem 21 projektů, odeslání zbývajících 2 projektů se na národní úrovni intenzivně připravuje. </w:t>
      </w:r>
    </w:p>
    <w:p w:rsidR="00F66A93" w:rsidRPr="00F12591" w:rsidRDefault="00F66A93" w:rsidP="00F12591">
      <w:pPr>
        <w:keepNext/>
        <w:numPr>
          <w:ilvl w:val="0"/>
          <w:numId w:val="4"/>
        </w:numPr>
        <w:spacing w:before="0"/>
        <w:ind w:left="284" w:hanging="284"/>
        <w:rPr>
          <w:rFonts w:ascii="Arial" w:hAnsi="Arial" w:cs="Arial"/>
          <w:sz w:val="20"/>
          <w:szCs w:val="20"/>
          <w:bdr w:val="none" w:sz="0" w:space="0" w:color="auto" w:frame="1"/>
        </w:rPr>
      </w:pPr>
      <w:r w:rsidRPr="00DA5042">
        <w:rPr>
          <w:rFonts w:ascii="Arial" w:hAnsi="Arial" w:cs="Arial"/>
          <w:sz w:val="20"/>
          <w:szCs w:val="20"/>
          <w:bdr w:val="none" w:sz="0" w:space="0" w:color="auto" w:frame="1"/>
        </w:rPr>
        <w:t xml:space="preserve">Dále </w:t>
      </w:r>
      <w:r w:rsidR="00DA5042" w:rsidRPr="00DA5042">
        <w:rPr>
          <w:rFonts w:ascii="Arial" w:hAnsi="Arial" w:cs="Arial"/>
          <w:sz w:val="20"/>
          <w:szCs w:val="20"/>
          <w:bdr w:val="none" w:sz="0" w:space="0" w:color="auto" w:frame="1"/>
        </w:rPr>
        <w:t xml:space="preserve">jsou </w:t>
      </w:r>
      <w:r w:rsidRPr="00DA5042">
        <w:rPr>
          <w:rFonts w:ascii="Arial" w:hAnsi="Arial" w:cs="Arial"/>
          <w:sz w:val="20"/>
          <w:szCs w:val="20"/>
          <w:bdr w:val="none" w:sz="0" w:space="0" w:color="auto" w:frame="1"/>
        </w:rPr>
        <w:t>na národní úrovni řešen</w:t>
      </w:r>
      <w:r w:rsidR="00DA5042" w:rsidRPr="00DA5042">
        <w:rPr>
          <w:rFonts w:ascii="Arial" w:hAnsi="Arial" w:cs="Arial"/>
          <w:sz w:val="20"/>
          <w:szCs w:val="20"/>
          <w:bdr w:val="none" w:sz="0" w:space="0" w:color="auto" w:frame="1"/>
        </w:rPr>
        <w:t>y</w:t>
      </w:r>
      <w:r w:rsidRPr="00DA5042">
        <w:rPr>
          <w:rFonts w:ascii="Arial" w:hAnsi="Arial" w:cs="Arial"/>
          <w:sz w:val="20"/>
          <w:szCs w:val="20"/>
          <w:bdr w:val="none" w:sz="0" w:space="0" w:color="auto" w:frame="1"/>
        </w:rPr>
        <w:t xml:space="preserve"> </w:t>
      </w:r>
      <w:r w:rsidR="00DA5042" w:rsidRPr="00DA5042">
        <w:rPr>
          <w:rFonts w:ascii="Arial" w:hAnsi="Arial" w:cs="Arial"/>
          <w:sz w:val="20"/>
          <w:szCs w:val="20"/>
          <w:bdr w:val="none" w:sz="0" w:space="0" w:color="auto" w:frame="1"/>
        </w:rPr>
        <w:t xml:space="preserve">další připomínky a </w:t>
      </w:r>
      <w:r w:rsidRPr="00DA5042">
        <w:rPr>
          <w:rFonts w:ascii="Arial" w:hAnsi="Arial" w:cs="Arial"/>
          <w:sz w:val="20"/>
          <w:szCs w:val="20"/>
          <w:bdr w:val="none" w:sz="0" w:space="0" w:color="auto" w:frame="1"/>
        </w:rPr>
        <w:t>požadav</w:t>
      </w:r>
      <w:r w:rsidR="00DA5042" w:rsidRPr="00DA5042">
        <w:rPr>
          <w:rFonts w:ascii="Arial" w:hAnsi="Arial" w:cs="Arial"/>
          <w:sz w:val="20"/>
          <w:szCs w:val="20"/>
          <w:bdr w:val="none" w:sz="0" w:space="0" w:color="auto" w:frame="1"/>
        </w:rPr>
        <w:t>ky</w:t>
      </w:r>
      <w:r w:rsidRPr="00DA5042">
        <w:rPr>
          <w:rFonts w:ascii="Arial" w:hAnsi="Arial" w:cs="Arial"/>
          <w:sz w:val="20"/>
          <w:szCs w:val="20"/>
          <w:bdr w:val="none" w:sz="0" w:space="0" w:color="auto" w:frame="1"/>
        </w:rPr>
        <w:t xml:space="preserve"> EK, </w:t>
      </w:r>
      <w:r w:rsidR="00DA5042" w:rsidRPr="00DA5042">
        <w:rPr>
          <w:rFonts w:ascii="Arial" w:hAnsi="Arial" w:cs="Arial"/>
          <w:sz w:val="20"/>
          <w:szCs w:val="20"/>
          <w:bdr w:val="none" w:sz="0" w:space="0" w:color="auto" w:frame="1"/>
        </w:rPr>
        <w:t xml:space="preserve">které </w:t>
      </w:r>
      <w:r w:rsidRPr="00DA5042">
        <w:rPr>
          <w:rFonts w:ascii="Arial" w:hAnsi="Arial" w:cs="Arial"/>
          <w:sz w:val="20"/>
          <w:szCs w:val="20"/>
          <w:bdr w:val="none" w:sz="0" w:space="0" w:color="auto" w:frame="1"/>
        </w:rPr>
        <w:t>byl</w:t>
      </w:r>
      <w:r w:rsidR="00DA5042" w:rsidRPr="00DA5042">
        <w:rPr>
          <w:rFonts w:ascii="Arial" w:hAnsi="Arial" w:cs="Arial"/>
          <w:sz w:val="20"/>
          <w:szCs w:val="20"/>
          <w:bdr w:val="none" w:sz="0" w:space="0" w:color="auto" w:frame="1"/>
        </w:rPr>
        <w:t>y</w:t>
      </w:r>
      <w:r w:rsidRPr="00DA5042">
        <w:rPr>
          <w:rFonts w:ascii="Arial" w:hAnsi="Arial" w:cs="Arial"/>
          <w:sz w:val="20"/>
          <w:szCs w:val="20"/>
          <w:bdr w:val="none" w:sz="0" w:space="0" w:color="auto" w:frame="1"/>
        </w:rPr>
        <w:t xml:space="preserve"> vznesen</w:t>
      </w:r>
      <w:r w:rsidR="00DA5042" w:rsidRPr="00DA5042">
        <w:rPr>
          <w:rFonts w:ascii="Arial" w:hAnsi="Arial" w:cs="Arial"/>
          <w:sz w:val="20"/>
          <w:szCs w:val="20"/>
          <w:bdr w:val="none" w:sz="0" w:space="0" w:color="auto" w:frame="1"/>
        </w:rPr>
        <w:t>y po</w:t>
      </w:r>
      <w:r w:rsidR="00F2326E">
        <w:rPr>
          <w:rFonts w:ascii="Arial" w:hAnsi="Arial" w:cs="Arial"/>
          <w:sz w:val="20"/>
          <w:szCs w:val="20"/>
          <w:bdr w:val="none" w:sz="0" w:space="0" w:color="auto" w:frame="1"/>
        </w:rPr>
        <w:t> </w:t>
      </w:r>
      <w:r w:rsidR="00DA5042" w:rsidRPr="00DA5042">
        <w:rPr>
          <w:rFonts w:ascii="Arial" w:hAnsi="Arial" w:cs="Arial"/>
          <w:sz w:val="20"/>
          <w:szCs w:val="20"/>
          <w:bdr w:val="none" w:sz="0" w:space="0" w:color="auto" w:frame="1"/>
        </w:rPr>
        <w:t>odeslání přezkoumaných projektů do EK</w:t>
      </w:r>
      <w:r w:rsidRPr="00DA5042">
        <w:rPr>
          <w:rFonts w:ascii="Arial" w:hAnsi="Arial" w:cs="Arial"/>
          <w:sz w:val="20"/>
          <w:szCs w:val="20"/>
          <w:bdr w:val="none" w:sz="0" w:space="0" w:color="auto" w:frame="1"/>
        </w:rPr>
        <w:t xml:space="preserve"> </w:t>
      </w:r>
      <w:r w:rsidR="00DA5042" w:rsidRPr="00DA5042">
        <w:rPr>
          <w:rFonts w:ascii="Arial" w:hAnsi="Arial" w:cs="Arial"/>
          <w:sz w:val="20"/>
          <w:szCs w:val="20"/>
          <w:bdr w:val="none" w:sz="0" w:space="0" w:color="auto" w:frame="1"/>
        </w:rPr>
        <w:t xml:space="preserve"> týkající se </w:t>
      </w:r>
      <w:r w:rsidRPr="00DA5042">
        <w:rPr>
          <w:rFonts w:ascii="Arial" w:hAnsi="Arial" w:cs="Arial"/>
          <w:sz w:val="20"/>
          <w:szCs w:val="20"/>
          <w:bdr w:val="none" w:sz="0" w:space="0" w:color="auto" w:frame="1"/>
        </w:rPr>
        <w:t>dodržování rámcové směrnice o vodě</w:t>
      </w:r>
      <w:r w:rsidR="00DA5042" w:rsidRPr="00DA5042">
        <w:rPr>
          <w:rFonts w:ascii="Arial" w:hAnsi="Arial" w:cs="Arial"/>
          <w:sz w:val="20"/>
          <w:szCs w:val="20"/>
          <w:bdr w:val="none" w:sz="0" w:space="0" w:color="auto" w:frame="1"/>
        </w:rPr>
        <w:t xml:space="preserve"> či</w:t>
      </w:r>
      <w:r w:rsidR="00F2326E">
        <w:rPr>
          <w:rFonts w:ascii="Arial" w:hAnsi="Arial" w:cs="Arial"/>
          <w:sz w:val="20"/>
          <w:szCs w:val="20"/>
          <w:bdr w:val="none" w:sz="0" w:space="0" w:color="auto" w:frame="1"/>
        </w:rPr>
        <w:t> </w:t>
      </w:r>
      <w:r w:rsidR="00DA5042" w:rsidRPr="00DA5042">
        <w:rPr>
          <w:rFonts w:ascii="Arial" w:hAnsi="Arial" w:cs="Arial"/>
          <w:sz w:val="20"/>
          <w:szCs w:val="20"/>
          <w:bdr w:val="none" w:sz="0" w:space="0" w:color="auto" w:frame="1"/>
        </w:rPr>
        <w:t>problematiky hluku. Ze strany MD, MŽP a dalších zainteresovaných subjektů je těmto požadavkům / připomínkám věnována vysoká pozornost a jsou průběžně s EK vypořádávány</w:t>
      </w:r>
      <w:r w:rsidRPr="00DA5042">
        <w:rPr>
          <w:rFonts w:ascii="Arial" w:hAnsi="Arial" w:cs="Arial"/>
          <w:sz w:val="20"/>
          <w:szCs w:val="20"/>
          <w:bdr w:val="none" w:sz="0" w:space="0" w:color="auto" w:frame="1"/>
        </w:rPr>
        <w:t xml:space="preserve">. </w:t>
      </w:r>
      <w:r w:rsidRPr="00F66A93">
        <w:rPr>
          <w:rFonts w:ascii="Arial" w:hAnsi="Arial" w:cs="Arial"/>
          <w:sz w:val="20"/>
          <w:szCs w:val="20"/>
          <w:bdr w:val="none" w:sz="0" w:space="0" w:color="auto" w:frame="1"/>
        </w:rPr>
        <w:t>V souvislosti s problematikou EIA</w:t>
      </w:r>
      <w:r w:rsidR="00DA5042">
        <w:rPr>
          <w:rFonts w:ascii="Arial" w:hAnsi="Arial" w:cs="Arial"/>
          <w:sz w:val="20"/>
          <w:szCs w:val="20"/>
          <w:bdr w:val="none" w:sz="0" w:space="0" w:color="auto" w:frame="1"/>
        </w:rPr>
        <w:t xml:space="preserve"> byly</w:t>
      </w:r>
      <w:r w:rsidRPr="00F66A93">
        <w:rPr>
          <w:rFonts w:ascii="Arial" w:hAnsi="Arial" w:cs="Arial"/>
          <w:sz w:val="20"/>
          <w:szCs w:val="20"/>
          <w:bdr w:val="none" w:sz="0" w:space="0" w:color="auto" w:frame="1"/>
        </w:rPr>
        <w:t xml:space="preserve"> řešeny také 2 velké projekty financované z OP Výzkum a vývoj pro inovace (ELI, SUSEN). EK </w:t>
      </w:r>
      <w:r w:rsidR="00DA5042" w:rsidRPr="00F66A93">
        <w:rPr>
          <w:rFonts w:ascii="Arial" w:hAnsi="Arial" w:cs="Arial"/>
          <w:sz w:val="20"/>
          <w:szCs w:val="20"/>
          <w:bdr w:val="none" w:sz="0" w:space="0" w:color="auto" w:frame="1"/>
        </w:rPr>
        <w:t>požad</w:t>
      </w:r>
      <w:r w:rsidR="00DA5042">
        <w:rPr>
          <w:rFonts w:ascii="Arial" w:hAnsi="Arial" w:cs="Arial"/>
          <w:sz w:val="20"/>
          <w:szCs w:val="20"/>
          <w:bdr w:val="none" w:sz="0" w:space="0" w:color="auto" w:frame="1"/>
        </w:rPr>
        <w:t>ovala</w:t>
      </w:r>
      <w:r w:rsidR="00DA5042" w:rsidRPr="00F66A93">
        <w:rPr>
          <w:rFonts w:ascii="Arial" w:hAnsi="Arial" w:cs="Arial"/>
          <w:sz w:val="20"/>
          <w:szCs w:val="20"/>
          <w:bdr w:val="none" w:sz="0" w:space="0" w:color="auto" w:frame="1"/>
        </w:rPr>
        <w:t xml:space="preserve"> </w:t>
      </w:r>
      <w:r w:rsidRPr="00F66A93">
        <w:rPr>
          <w:rFonts w:ascii="Arial" w:hAnsi="Arial" w:cs="Arial"/>
          <w:sz w:val="20"/>
          <w:szCs w:val="20"/>
          <w:bdr w:val="none" w:sz="0" w:space="0" w:color="auto" w:frame="1"/>
        </w:rPr>
        <w:t>i u těchto projektů posouzení, zda</w:t>
      </w:r>
      <w:r w:rsidR="00F2326E">
        <w:rPr>
          <w:rFonts w:ascii="Arial" w:hAnsi="Arial" w:cs="Arial"/>
          <w:sz w:val="20"/>
          <w:szCs w:val="20"/>
          <w:bdr w:val="none" w:sz="0" w:space="0" w:color="auto" w:frame="1"/>
        </w:rPr>
        <w:t> </w:t>
      </w:r>
      <w:r w:rsidRPr="00F66A93">
        <w:rPr>
          <w:rFonts w:ascii="Arial" w:hAnsi="Arial" w:cs="Arial"/>
          <w:sz w:val="20"/>
          <w:szCs w:val="20"/>
          <w:bdr w:val="none" w:sz="0" w:space="0" w:color="auto" w:frame="1"/>
        </w:rPr>
        <w:t>je dodržována Směrnice EIA, tzn., aby také tyto projekty byly přezkoumány MPS EIA</w:t>
      </w:r>
      <w:r w:rsidR="00DA5042">
        <w:rPr>
          <w:rFonts w:ascii="Arial" w:hAnsi="Arial" w:cs="Arial"/>
          <w:sz w:val="20"/>
          <w:szCs w:val="20"/>
          <w:bdr w:val="none" w:sz="0" w:space="0" w:color="auto" w:frame="1"/>
        </w:rPr>
        <w:t>.</w:t>
      </w:r>
      <w:r w:rsidRPr="00F66A93">
        <w:rPr>
          <w:rFonts w:ascii="Arial" w:hAnsi="Arial" w:cs="Arial"/>
          <w:sz w:val="20"/>
          <w:szCs w:val="20"/>
          <w:bdr w:val="none" w:sz="0" w:space="0" w:color="auto" w:frame="1"/>
        </w:rPr>
        <w:t xml:space="preserve"> </w:t>
      </w:r>
      <w:r w:rsidR="00F12591">
        <w:rPr>
          <w:rFonts w:ascii="Arial" w:hAnsi="Arial" w:cs="Arial"/>
          <w:sz w:val="20"/>
          <w:szCs w:val="20"/>
          <w:bdr w:val="none" w:sz="0" w:space="0" w:color="auto" w:frame="1"/>
        </w:rPr>
        <w:t>Tyto dva projekty již MPS EIA posoudila a závěr vyhodnocení byl podepsán příslušnými členy skupiny. MŽP</w:t>
      </w:r>
      <w:r w:rsidR="00F2326E">
        <w:rPr>
          <w:rFonts w:ascii="Arial" w:hAnsi="Arial" w:cs="Arial"/>
          <w:sz w:val="20"/>
          <w:szCs w:val="20"/>
          <w:bdr w:val="none" w:sz="0" w:space="0" w:color="auto" w:frame="1"/>
        </w:rPr>
        <w:t> </w:t>
      </w:r>
      <w:r w:rsidR="00DA5042">
        <w:rPr>
          <w:rFonts w:ascii="Arial" w:hAnsi="Arial" w:cs="Arial"/>
          <w:sz w:val="20"/>
          <w:szCs w:val="20"/>
          <w:bdr w:val="none" w:sz="0" w:space="0" w:color="auto" w:frame="1"/>
        </w:rPr>
        <w:t xml:space="preserve">zajistilo </w:t>
      </w:r>
      <w:r w:rsidR="00F12591">
        <w:rPr>
          <w:rFonts w:ascii="Arial" w:hAnsi="Arial" w:cs="Arial"/>
          <w:sz w:val="20"/>
          <w:szCs w:val="20"/>
          <w:bdr w:val="none" w:sz="0" w:space="0" w:color="auto" w:frame="1"/>
        </w:rPr>
        <w:t xml:space="preserve">zveřejnění předmětných listin v souladu s dohodou s EK.  </w:t>
      </w:r>
    </w:p>
    <w:p w:rsidR="00F12591" w:rsidRPr="00DA5042" w:rsidRDefault="00F66A93" w:rsidP="00F12591">
      <w:pPr>
        <w:keepNext/>
        <w:numPr>
          <w:ilvl w:val="0"/>
          <w:numId w:val="4"/>
        </w:numPr>
        <w:spacing w:before="0"/>
        <w:ind w:left="284" w:hanging="284"/>
        <w:rPr>
          <w:rFonts w:ascii="Arial" w:hAnsi="Arial" w:cs="Arial"/>
          <w:color w:val="000000"/>
          <w:sz w:val="20"/>
          <w:szCs w:val="20"/>
        </w:rPr>
      </w:pPr>
      <w:r w:rsidRPr="00F12591">
        <w:rPr>
          <w:rFonts w:ascii="Arial" w:hAnsi="Arial" w:cs="Arial"/>
          <w:sz w:val="20"/>
          <w:szCs w:val="20"/>
          <w:bdr w:val="none" w:sz="0" w:space="0" w:color="auto" w:frame="1"/>
        </w:rPr>
        <w:t>Plnění opatření týkající se 2% vzorku projektů, ke kterým byl proces EIA zahájen po datu přistoupení České republiky k Evropské unii, nabír</w:t>
      </w:r>
      <w:r w:rsidR="00F12591" w:rsidRPr="00F12591">
        <w:rPr>
          <w:rFonts w:ascii="Arial" w:hAnsi="Arial" w:cs="Arial"/>
          <w:sz w:val="20"/>
          <w:szCs w:val="20"/>
          <w:bdr w:val="none" w:sz="0" w:space="0" w:color="auto" w:frame="1"/>
        </w:rPr>
        <w:t>alo</w:t>
      </w:r>
      <w:r w:rsidRPr="00F12591">
        <w:rPr>
          <w:rFonts w:ascii="Arial" w:hAnsi="Arial" w:cs="Arial"/>
          <w:sz w:val="20"/>
          <w:szCs w:val="20"/>
          <w:bdr w:val="none" w:sz="0" w:space="0" w:color="auto" w:frame="1"/>
        </w:rPr>
        <w:t xml:space="preserve"> rovněž zpoždění. Vzorek projektů byl potvrzen dne 21. července 2015, téměř 4 měsíce po termínu. K přezkumu byly vybrány 4 projekty</w:t>
      </w:r>
      <w:r w:rsidR="00DA5042">
        <w:rPr>
          <w:rFonts w:ascii="Arial" w:hAnsi="Arial" w:cs="Arial"/>
          <w:sz w:val="20"/>
          <w:szCs w:val="20"/>
          <w:bdr w:val="none" w:sz="0" w:space="0" w:color="auto" w:frame="1"/>
        </w:rPr>
        <w:t xml:space="preserve"> a přezkum všech 4 projektů aktuálně probíhá</w:t>
      </w:r>
      <w:r w:rsidRPr="00F12591">
        <w:rPr>
          <w:rFonts w:ascii="Arial" w:hAnsi="Arial" w:cs="Arial"/>
          <w:sz w:val="20"/>
          <w:szCs w:val="20"/>
          <w:bdr w:val="none" w:sz="0" w:space="0" w:color="auto" w:frame="1"/>
        </w:rPr>
        <w:t>. Výše uvedené by však nemělo mít přímou vazbu na</w:t>
      </w:r>
      <w:r w:rsidR="00F2326E">
        <w:rPr>
          <w:rFonts w:ascii="Arial" w:hAnsi="Arial" w:cs="Arial"/>
          <w:sz w:val="20"/>
          <w:szCs w:val="20"/>
          <w:bdr w:val="none" w:sz="0" w:space="0" w:color="auto" w:frame="1"/>
        </w:rPr>
        <w:t> </w:t>
      </w:r>
      <w:r w:rsidRPr="00F12591">
        <w:rPr>
          <w:rFonts w:ascii="Arial" w:hAnsi="Arial" w:cs="Arial"/>
          <w:sz w:val="20"/>
          <w:szCs w:val="20"/>
          <w:bdr w:val="none" w:sz="0" w:space="0" w:color="auto" w:frame="1"/>
        </w:rPr>
        <w:t xml:space="preserve">naplňování předběžné podmínky. Nutné je ovšem stále brát v potaz skutečnost, že až doposud nebylo ze strany EK zastaveno </w:t>
      </w:r>
      <w:proofErr w:type="spellStart"/>
      <w:r w:rsidRPr="00F12591">
        <w:rPr>
          <w:rFonts w:ascii="Arial" w:hAnsi="Arial" w:cs="Arial"/>
          <w:sz w:val="20"/>
          <w:szCs w:val="20"/>
          <w:bdr w:val="none" w:sz="0" w:space="0" w:color="auto" w:frame="1"/>
        </w:rPr>
        <w:t>infringementové</w:t>
      </w:r>
      <w:proofErr w:type="spellEnd"/>
      <w:r w:rsidRPr="00F12591">
        <w:rPr>
          <w:rFonts w:ascii="Arial" w:hAnsi="Arial" w:cs="Arial"/>
          <w:sz w:val="20"/>
          <w:szCs w:val="20"/>
          <w:bdr w:val="none" w:sz="0" w:space="0" w:color="auto" w:frame="1"/>
        </w:rPr>
        <w:t xml:space="preserve"> řízení pro nesprávnou transpozici směrnice EIA a</w:t>
      </w:r>
      <w:r w:rsidR="00F2326E">
        <w:rPr>
          <w:rFonts w:ascii="Arial" w:hAnsi="Arial" w:cs="Arial"/>
          <w:sz w:val="20"/>
          <w:szCs w:val="20"/>
          <w:bdr w:val="none" w:sz="0" w:space="0" w:color="auto" w:frame="1"/>
        </w:rPr>
        <w:t> </w:t>
      </w:r>
      <w:r w:rsidRPr="00F12591">
        <w:rPr>
          <w:rFonts w:ascii="Arial" w:hAnsi="Arial" w:cs="Arial"/>
          <w:sz w:val="20"/>
          <w:szCs w:val="20"/>
          <w:bdr w:val="none" w:sz="0" w:space="0" w:color="auto" w:frame="1"/>
        </w:rPr>
        <w:t>zároveň i skutečnost, že aktuálně probíhá další novelizace relevantní legislativy v souvislosti se</w:t>
      </w:r>
      <w:r w:rsidR="00F2326E">
        <w:rPr>
          <w:rFonts w:ascii="Arial" w:hAnsi="Arial" w:cs="Arial"/>
          <w:sz w:val="20"/>
          <w:szCs w:val="20"/>
          <w:bdr w:val="none" w:sz="0" w:space="0" w:color="auto" w:frame="1"/>
        </w:rPr>
        <w:t> </w:t>
      </w:r>
      <w:r w:rsidRPr="00F12591">
        <w:rPr>
          <w:rFonts w:ascii="Arial" w:hAnsi="Arial" w:cs="Arial"/>
          <w:sz w:val="20"/>
          <w:szCs w:val="20"/>
          <w:bdr w:val="none" w:sz="0" w:space="0" w:color="auto" w:frame="1"/>
        </w:rPr>
        <w:t xml:space="preserve">zaváděním tzv. </w:t>
      </w:r>
      <w:r w:rsidR="00F12591">
        <w:rPr>
          <w:rFonts w:ascii="Arial" w:hAnsi="Arial" w:cs="Arial"/>
          <w:sz w:val="20"/>
          <w:szCs w:val="20"/>
          <w:bdr w:val="none" w:sz="0" w:space="0" w:color="auto" w:frame="1"/>
        </w:rPr>
        <w:t>koordinovaného</w:t>
      </w:r>
      <w:r w:rsidR="00F12591" w:rsidRPr="00F12591">
        <w:rPr>
          <w:rFonts w:ascii="Arial" w:hAnsi="Arial" w:cs="Arial"/>
          <w:sz w:val="20"/>
          <w:szCs w:val="20"/>
          <w:bdr w:val="none" w:sz="0" w:space="0" w:color="auto" w:frame="1"/>
        </w:rPr>
        <w:t xml:space="preserve"> </w:t>
      </w:r>
      <w:r w:rsidRPr="00F12591">
        <w:rPr>
          <w:rFonts w:ascii="Arial" w:hAnsi="Arial" w:cs="Arial"/>
          <w:sz w:val="20"/>
          <w:szCs w:val="20"/>
          <w:bdr w:val="none" w:sz="0" w:space="0" w:color="auto" w:frame="1"/>
        </w:rPr>
        <w:t>povolení. Komise v tomto smyslu avizovala, že</w:t>
      </w:r>
      <w:r w:rsidR="00334AF9">
        <w:rPr>
          <w:rFonts w:ascii="Arial" w:hAnsi="Arial" w:cs="Arial"/>
          <w:sz w:val="20"/>
          <w:szCs w:val="20"/>
          <w:bdr w:val="none" w:sz="0" w:space="0" w:color="auto" w:frame="1"/>
        </w:rPr>
        <w:t xml:space="preserve"> bude i nadále monitorovat, zda </w:t>
      </w:r>
      <w:r w:rsidRPr="00F12591">
        <w:rPr>
          <w:rFonts w:ascii="Arial" w:hAnsi="Arial" w:cs="Arial"/>
          <w:sz w:val="20"/>
          <w:szCs w:val="20"/>
          <w:bdr w:val="none" w:sz="0" w:space="0" w:color="auto" w:frame="1"/>
        </w:rPr>
        <w:t>implementace směrnice EIA probíhá řádně.</w:t>
      </w:r>
    </w:p>
    <w:p w:rsidR="00DA5042" w:rsidRPr="00DA5042" w:rsidRDefault="00DA5042" w:rsidP="00DA5042">
      <w:pPr>
        <w:keepNext/>
        <w:numPr>
          <w:ilvl w:val="0"/>
          <w:numId w:val="4"/>
        </w:numPr>
        <w:spacing w:before="0"/>
        <w:ind w:left="284" w:hanging="284"/>
        <w:rPr>
          <w:rFonts w:ascii="Arial" w:hAnsi="Arial" w:cs="Arial"/>
          <w:color w:val="000000"/>
          <w:sz w:val="20"/>
          <w:szCs w:val="20"/>
        </w:rPr>
      </w:pPr>
      <w:r>
        <w:rPr>
          <w:rFonts w:ascii="Arial" w:hAnsi="Arial" w:cs="Arial"/>
          <w:sz w:val="20"/>
          <w:szCs w:val="20"/>
          <w:bdr w:val="none" w:sz="0" w:space="0" w:color="auto" w:frame="1"/>
        </w:rPr>
        <w:t>V neposlední řadě je také nutné upozornit, že EK se také intenzivně zabývá postupem u projektů, které by měly být financované z OP D 2014–2020, a kterým bylo vydáno stanovisko EIA před</w:t>
      </w:r>
      <w:r w:rsidR="00F2326E">
        <w:rPr>
          <w:rFonts w:ascii="Arial" w:hAnsi="Arial" w:cs="Arial"/>
          <w:sz w:val="20"/>
          <w:szCs w:val="20"/>
          <w:bdr w:val="none" w:sz="0" w:space="0" w:color="auto" w:frame="1"/>
        </w:rPr>
        <w:t> </w:t>
      </w:r>
      <w:r>
        <w:rPr>
          <w:rFonts w:ascii="Arial" w:hAnsi="Arial" w:cs="Arial"/>
          <w:sz w:val="20"/>
          <w:szCs w:val="20"/>
          <w:bdr w:val="none" w:sz="0" w:space="0" w:color="auto" w:frame="1"/>
        </w:rPr>
        <w:t>vstupem ČR do EU. K této problematice proběhne dne 11. listopadu 2015 jednání EK s dotčenými resorty (MD, MŽP, MMR).</w:t>
      </w:r>
    </w:p>
    <w:p w:rsidR="00F12591" w:rsidRPr="00F12591" w:rsidRDefault="00F12591" w:rsidP="00F12591">
      <w:pPr>
        <w:keepNext/>
        <w:spacing w:before="0"/>
        <w:rPr>
          <w:rFonts w:ascii="Arial" w:hAnsi="Arial" w:cs="Arial"/>
          <w:color w:val="000000"/>
          <w:sz w:val="20"/>
          <w:szCs w:val="20"/>
        </w:rPr>
      </w:pPr>
    </w:p>
    <w:p w:rsidR="00F66A93" w:rsidRPr="00F66A93" w:rsidRDefault="00F66A93" w:rsidP="00F66A93">
      <w:pPr>
        <w:keepNext/>
        <w:spacing w:before="0"/>
        <w:rPr>
          <w:rFonts w:ascii="Arial" w:eastAsia="Times New Roman" w:hAnsi="Arial" w:cs="Arial"/>
          <w:b/>
          <w:sz w:val="20"/>
          <w:szCs w:val="20"/>
        </w:rPr>
      </w:pPr>
      <w:r w:rsidRPr="00F66A93">
        <w:rPr>
          <w:rFonts w:ascii="Arial" w:eastAsia="Times New Roman" w:hAnsi="Arial" w:cs="Arial"/>
          <w:b/>
          <w:sz w:val="20"/>
          <w:szCs w:val="20"/>
          <w:u w:val="single"/>
        </w:rPr>
        <w:t>T 1.1 Výzkum a vývoj - Inteligentní specializace</w:t>
      </w:r>
      <w:r w:rsidRPr="00F66A93">
        <w:rPr>
          <w:rFonts w:ascii="Arial" w:eastAsia="Times New Roman" w:hAnsi="Arial" w:cs="Arial"/>
          <w:b/>
          <w:sz w:val="20"/>
          <w:szCs w:val="20"/>
        </w:rPr>
        <w:t xml:space="preserve"> </w:t>
      </w:r>
    </w:p>
    <w:p w:rsidR="00F66A93" w:rsidRPr="00F66A93" w:rsidRDefault="00F66A93" w:rsidP="00F66A93">
      <w:pPr>
        <w:keepNext/>
        <w:spacing w:before="0"/>
        <w:rPr>
          <w:rFonts w:ascii="Arial" w:eastAsia="Times New Roman" w:hAnsi="Arial" w:cs="Arial"/>
          <w:b/>
          <w:sz w:val="20"/>
          <w:szCs w:val="20"/>
          <w:u w:val="single"/>
        </w:rPr>
      </w:pPr>
      <w:r w:rsidRPr="00F66A93">
        <w:rPr>
          <w:rFonts w:ascii="Arial" w:eastAsia="Times New Roman" w:hAnsi="Arial" w:cs="Arial"/>
          <w:sz w:val="20"/>
          <w:szCs w:val="20"/>
        </w:rPr>
        <w:t>(gestor: Úřad vlády ČR)</w:t>
      </w:r>
    </w:p>
    <w:p w:rsidR="00F66A93" w:rsidRPr="003C13CF" w:rsidRDefault="00F66A93" w:rsidP="00F66A93">
      <w:pPr>
        <w:numPr>
          <w:ilvl w:val="0"/>
          <w:numId w:val="4"/>
        </w:numPr>
        <w:spacing w:before="0"/>
        <w:ind w:left="284" w:hanging="284"/>
        <w:rPr>
          <w:rFonts w:ascii="Arial" w:eastAsia="Times New Roman" w:hAnsi="Arial" w:cs="Arial"/>
          <w:sz w:val="20"/>
          <w:szCs w:val="20"/>
          <w:bdr w:val="none" w:sz="0" w:space="0" w:color="auto" w:frame="1"/>
        </w:rPr>
      </w:pPr>
      <w:r w:rsidRPr="003C13CF">
        <w:rPr>
          <w:rFonts w:ascii="Arial" w:eastAsia="Times New Roman" w:hAnsi="Arial" w:cs="Arial"/>
          <w:sz w:val="20"/>
          <w:szCs w:val="20"/>
          <w:bdr w:val="none" w:sz="0" w:space="0" w:color="auto" w:frame="1"/>
        </w:rPr>
        <w:t>Na základě připomínek EK k dokumentu byl dopracován a aktualizován návrh monitorovacích indikátorů Národní výzkumné a inovační strategie pro inteligentní specializaci ČR (Národní RIS3 strategie) a metodika</w:t>
      </w:r>
      <w:r w:rsidRPr="007F41AD">
        <w:rPr>
          <w:rFonts w:ascii="Arial" w:eastAsia="Times New Roman" w:hAnsi="Arial" w:cs="Arial"/>
          <w:sz w:val="20"/>
          <w:szCs w:val="20"/>
          <w:bdr w:val="none" w:sz="0" w:space="0" w:color="auto" w:frame="1"/>
        </w:rPr>
        <w:t xml:space="preserve"> monitorování (vč. popisu role krajských subjektů při monitorování intervencí RIS3), které jsou relevantní pro splnění dané PP v </w:t>
      </w:r>
      <w:r w:rsidRPr="003C13CF">
        <w:rPr>
          <w:rFonts w:ascii="Arial" w:eastAsia="Times New Roman" w:hAnsi="Arial" w:cs="Arial"/>
          <w:sz w:val="20"/>
          <w:szCs w:val="20"/>
          <w:bdr w:val="none" w:sz="0" w:space="0" w:color="auto" w:frame="1"/>
        </w:rPr>
        <w:t xml:space="preserve">termínu, tedy k 31. květnu 2015. Metodika monitorování existuje jako samostatný dokument, má se však v souladu s požadavkem EK stát součástí Národní RIS 3 strategie. Tímto došlo ke splnění kritéria na národní úrovni. Dále bude nutná verifikace EK.  </w:t>
      </w:r>
    </w:p>
    <w:p w:rsidR="00F66A93" w:rsidRPr="003C13CF" w:rsidRDefault="00F66A93" w:rsidP="00F66A93">
      <w:pPr>
        <w:numPr>
          <w:ilvl w:val="0"/>
          <w:numId w:val="4"/>
        </w:numPr>
        <w:spacing w:before="0"/>
        <w:ind w:left="284" w:hanging="284"/>
        <w:rPr>
          <w:rFonts w:ascii="Arial" w:eastAsia="Times New Roman" w:hAnsi="Arial" w:cs="Arial"/>
          <w:sz w:val="20"/>
          <w:szCs w:val="20"/>
          <w:bdr w:val="none" w:sz="0" w:space="0" w:color="auto" w:frame="1"/>
        </w:rPr>
      </w:pPr>
      <w:r w:rsidRPr="003C13CF">
        <w:rPr>
          <w:rFonts w:ascii="Arial" w:eastAsia="Times New Roman" w:hAnsi="Arial" w:cs="Arial"/>
          <w:sz w:val="20"/>
          <w:szCs w:val="20"/>
          <w:bdr w:val="none" w:sz="0" w:space="0" w:color="auto" w:frame="1"/>
        </w:rPr>
        <w:t>Pro potřeby splnění dalšího kritéria dostupného rozpočtu pro výzkum a inovace prob</w:t>
      </w:r>
      <w:r w:rsidR="003C13CF">
        <w:rPr>
          <w:rFonts w:ascii="Arial" w:eastAsia="Times New Roman" w:hAnsi="Arial" w:cs="Arial"/>
          <w:sz w:val="20"/>
          <w:szCs w:val="20"/>
          <w:bdr w:val="none" w:sz="0" w:space="0" w:color="auto" w:frame="1"/>
        </w:rPr>
        <w:t>ěhla</w:t>
      </w:r>
      <w:r w:rsidRPr="003C13CF">
        <w:rPr>
          <w:rFonts w:ascii="Arial" w:eastAsia="Times New Roman" w:hAnsi="Arial" w:cs="Arial"/>
          <w:sz w:val="20"/>
          <w:szCs w:val="20"/>
          <w:bdr w:val="none" w:sz="0" w:space="0" w:color="auto" w:frame="1"/>
        </w:rPr>
        <w:t xml:space="preserve"> revize zdrojů veřejných rozpočtů na podporu </w:t>
      </w:r>
      <w:proofErr w:type="spellStart"/>
      <w:r w:rsidRPr="003C13CF">
        <w:rPr>
          <w:rFonts w:ascii="Arial" w:eastAsia="Times New Roman" w:hAnsi="Arial" w:cs="Arial"/>
          <w:sz w:val="20"/>
          <w:szCs w:val="20"/>
          <w:bdr w:val="none" w:sz="0" w:space="0" w:color="auto" w:frame="1"/>
        </w:rPr>
        <w:t>VaVaI</w:t>
      </w:r>
      <w:proofErr w:type="spellEnd"/>
      <w:r w:rsidRPr="003C13CF">
        <w:rPr>
          <w:rFonts w:ascii="Arial" w:eastAsia="Times New Roman" w:hAnsi="Arial" w:cs="Arial"/>
          <w:sz w:val="20"/>
          <w:szCs w:val="20"/>
          <w:bdr w:val="none" w:sz="0" w:space="0" w:color="auto" w:frame="1"/>
        </w:rPr>
        <w:t xml:space="preserve"> (národních i krajských). </w:t>
      </w:r>
    </w:p>
    <w:p w:rsidR="00F66A93" w:rsidRDefault="00334AF9" w:rsidP="00F66A93">
      <w:pPr>
        <w:numPr>
          <w:ilvl w:val="0"/>
          <w:numId w:val="4"/>
        </w:numPr>
        <w:spacing w:before="0"/>
        <w:ind w:left="284" w:hanging="284"/>
        <w:rPr>
          <w:rFonts w:ascii="Arial" w:eastAsia="Times New Roman" w:hAnsi="Arial" w:cs="Arial"/>
          <w:sz w:val="20"/>
          <w:szCs w:val="20"/>
          <w:bdr w:val="none" w:sz="0" w:space="0" w:color="auto" w:frame="1"/>
        </w:rPr>
      </w:pPr>
      <w:proofErr w:type="spellStart"/>
      <w:r>
        <w:rPr>
          <w:rFonts w:ascii="Arial" w:eastAsia="Times New Roman" w:hAnsi="Arial" w:cs="Arial"/>
          <w:sz w:val="20"/>
          <w:szCs w:val="20"/>
          <w:bdr w:val="none" w:sz="0" w:space="0" w:color="auto" w:frame="1"/>
        </w:rPr>
        <w:t>Fina</w:t>
      </w:r>
      <w:r w:rsidR="003C13CF">
        <w:rPr>
          <w:rFonts w:ascii="Arial" w:eastAsia="Times New Roman" w:hAnsi="Arial" w:cs="Arial"/>
          <w:sz w:val="20"/>
          <w:szCs w:val="20"/>
          <w:bdr w:val="none" w:sz="0" w:space="0" w:color="auto" w:frame="1"/>
        </w:rPr>
        <w:t>l</w:t>
      </w:r>
      <w:r w:rsidR="008A3D87">
        <w:rPr>
          <w:rFonts w:ascii="Arial" w:eastAsia="Times New Roman" w:hAnsi="Arial" w:cs="Arial"/>
          <w:sz w:val="20"/>
          <w:szCs w:val="20"/>
          <w:bdr w:val="none" w:sz="0" w:space="0" w:color="auto" w:frame="1"/>
        </w:rPr>
        <w:t>izovaná</w:t>
      </w:r>
      <w:proofErr w:type="spellEnd"/>
      <w:r w:rsidR="003C13CF">
        <w:rPr>
          <w:rFonts w:ascii="Arial" w:eastAsia="Times New Roman" w:hAnsi="Arial" w:cs="Arial"/>
          <w:sz w:val="20"/>
          <w:szCs w:val="20"/>
          <w:bdr w:val="none" w:sz="0" w:space="0" w:color="auto" w:frame="1"/>
        </w:rPr>
        <w:t xml:space="preserve"> verze RIS 3 strategie byla</w:t>
      </w:r>
      <w:r w:rsidR="007F41AD">
        <w:rPr>
          <w:rFonts w:ascii="Arial" w:eastAsia="Times New Roman" w:hAnsi="Arial" w:cs="Arial"/>
          <w:sz w:val="20"/>
          <w:szCs w:val="20"/>
          <w:bdr w:val="none" w:sz="0" w:space="0" w:color="auto" w:frame="1"/>
        </w:rPr>
        <w:t xml:space="preserve"> neformálně</w:t>
      </w:r>
      <w:r w:rsidR="003C13CF">
        <w:rPr>
          <w:rFonts w:ascii="Arial" w:eastAsia="Times New Roman" w:hAnsi="Arial" w:cs="Arial"/>
          <w:sz w:val="20"/>
          <w:szCs w:val="20"/>
          <w:bdr w:val="none" w:sz="0" w:space="0" w:color="auto" w:frame="1"/>
        </w:rPr>
        <w:t xml:space="preserve"> zaslána EK</w:t>
      </w:r>
      <w:r w:rsidR="007F41AD">
        <w:rPr>
          <w:rFonts w:ascii="Arial" w:eastAsia="Times New Roman" w:hAnsi="Arial" w:cs="Arial"/>
          <w:sz w:val="20"/>
          <w:szCs w:val="20"/>
          <w:bdr w:val="none" w:sz="0" w:space="0" w:color="auto" w:frame="1"/>
        </w:rPr>
        <w:t xml:space="preserve"> k verifikaci. </w:t>
      </w:r>
      <w:r w:rsidR="00F66A93" w:rsidRPr="003C13CF">
        <w:rPr>
          <w:rFonts w:ascii="Arial" w:eastAsia="Times New Roman" w:hAnsi="Arial" w:cs="Arial"/>
          <w:sz w:val="20"/>
          <w:szCs w:val="20"/>
          <w:bdr w:val="none" w:sz="0" w:space="0" w:color="auto" w:frame="1"/>
        </w:rPr>
        <w:t>Po verifikaci EK bude dokument předložen vládě ČR.</w:t>
      </w:r>
    </w:p>
    <w:p w:rsidR="007F41AD" w:rsidRPr="003C13CF" w:rsidRDefault="007F41AD" w:rsidP="00F66A93">
      <w:pPr>
        <w:numPr>
          <w:ilvl w:val="0"/>
          <w:numId w:val="4"/>
        </w:numPr>
        <w:spacing w:before="0"/>
        <w:ind w:left="284" w:hanging="284"/>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Na národní úrovni lze tedy považovat tuto předběžnou podmínku za splněnou.</w:t>
      </w:r>
    </w:p>
    <w:p w:rsidR="00F66A93" w:rsidRPr="00F66A93" w:rsidRDefault="00F66A93" w:rsidP="00F66A93">
      <w:pPr>
        <w:spacing w:before="0"/>
        <w:rPr>
          <w:rFonts w:ascii="Arial" w:eastAsia="Times New Roman" w:hAnsi="Arial" w:cs="Arial"/>
          <w:sz w:val="20"/>
          <w:szCs w:val="20"/>
          <w:bdr w:val="none" w:sz="0" w:space="0" w:color="auto" w:frame="1"/>
        </w:rPr>
      </w:pPr>
    </w:p>
    <w:p w:rsidR="00F66A93" w:rsidRPr="00F66A93" w:rsidRDefault="00F66A93" w:rsidP="00F66A93">
      <w:pPr>
        <w:spacing w:before="0"/>
        <w:rPr>
          <w:rFonts w:ascii="Arial" w:hAnsi="Arial" w:cs="Arial"/>
          <w:b/>
          <w:sz w:val="20"/>
          <w:szCs w:val="20"/>
          <w:u w:val="single"/>
        </w:rPr>
      </w:pPr>
      <w:r w:rsidRPr="00F66A93">
        <w:rPr>
          <w:rFonts w:ascii="Arial" w:hAnsi="Arial" w:cs="Arial"/>
          <w:b/>
          <w:sz w:val="20"/>
          <w:szCs w:val="20"/>
          <w:u w:val="single"/>
        </w:rPr>
        <w:lastRenderedPageBreak/>
        <w:t>T 2.1 Digitální růst</w:t>
      </w:r>
    </w:p>
    <w:p w:rsidR="00F66A93" w:rsidRPr="00F66A93" w:rsidRDefault="00F66A93" w:rsidP="00F66A93">
      <w:pPr>
        <w:spacing w:before="0"/>
        <w:rPr>
          <w:rFonts w:ascii="Arial" w:eastAsia="Times New Roman" w:hAnsi="Arial" w:cs="Arial"/>
          <w:sz w:val="20"/>
          <w:szCs w:val="20"/>
          <w:bdr w:val="none" w:sz="0" w:space="0" w:color="auto" w:frame="1"/>
        </w:rPr>
      </w:pPr>
      <w:r w:rsidRPr="00F66A93">
        <w:rPr>
          <w:rFonts w:ascii="Arial" w:eastAsia="Times New Roman" w:hAnsi="Arial" w:cs="Arial"/>
          <w:sz w:val="20"/>
          <w:szCs w:val="20"/>
        </w:rPr>
        <w:t>(gestor: ministerstvo průmyslu a obchodu)</w:t>
      </w:r>
    </w:p>
    <w:p w:rsidR="00F66A93" w:rsidRDefault="00F66A93" w:rsidP="00F66A93">
      <w:pPr>
        <w:numPr>
          <w:ilvl w:val="0"/>
          <w:numId w:val="25"/>
        </w:numPr>
        <w:spacing w:before="0" w:after="120"/>
        <w:ind w:left="284" w:hanging="284"/>
        <w:contextualSpacing/>
        <w:rPr>
          <w:rFonts w:ascii="Arial" w:eastAsia="Times New Roman" w:hAnsi="Arial" w:cs="Arial"/>
          <w:sz w:val="20"/>
          <w:szCs w:val="20"/>
          <w:bdr w:val="none" w:sz="0" w:space="0" w:color="auto" w:frame="1"/>
          <w:lang w:eastAsia="en-US"/>
        </w:rPr>
      </w:pPr>
      <w:r w:rsidRPr="00F66A93">
        <w:rPr>
          <w:rFonts w:ascii="Arial" w:eastAsia="Times New Roman" w:hAnsi="Arial" w:cs="Arial"/>
          <w:sz w:val="20"/>
          <w:szCs w:val="20"/>
          <w:bdr w:val="none" w:sz="0" w:space="0" w:color="auto" w:frame="1"/>
          <w:lang w:eastAsia="en-US"/>
        </w:rPr>
        <w:t xml:space="preserve">Strategie digitální gramotnosti ČR na období 2015 - 2020 prošla v termínu 20. dubna až 5. května 2015 meziresortním připomínkovým řízením, v květnu 2015 proběhlo vypořádání připomínek, </w:t>
      </w:r>
      <w:r w:rsidRPr="00F66A93">
        <w:rPr>
          <w:rFonts w:ascii="Arial" w:eastAsia="Times New Roman" w:hAnsi="Arial" w:cs="Arial"/>
          <w:sz w:val="20"/>
          <w:szCs w:val="20"/>
          <w:bdr w:val="none" w:sz="0" w:space="0" w:color="auto" w:frame="1"/>
          <w:lang w:eastAsia="en-US"/>
        </w:rPr>
        <w:br/>
        <w:t xml:space="preserve">dne 1. července 2015 byl dokument projednán a schválen vládou ČR a následně odeslán EK. </w:t>
      </w:r>
      <w:r w:rsidR="00BE4CAD">
        <w:rPr>
          <w:rFonts w:ascii="Arial" w:eastAsia="Times New Roman" w:hAnsi="Arial" w:cs="Arial"/>
          <w:sz w:val="20"/>
          <w:szCs w:val="20"/>
          <w:bdr w:val="none" w:sz="0" w:space="0" w:color="auto" w:frame="1"/>
          <w:lang w:eastAsia="en-US"/>
        </w:rPr>
        <w:t xml:space="preserve">Strategie bude odeslána </w:t>
      </w:r>
      <w:r w:rsidRPr="00F66A93">
        <w:rPr>
          <w:rFonts w:ascii="Arial" w:eastAsia="Times New Roman" w:hAnsi="Arial" w:cs="Arial"/>
          <w:sz w:val="20"/>
          <w:szCs w:val="20"/>
          <w:bdr w:val="none" w:sz="0" w:space="0" w:color="auto" w:frame="1"/>
          <w:lang w:eastAsia="en-US"/>
        </w:rPr>
        <w:t>k oficiálnímu posouzení EK prostřednictvím SFC. Tímto tedy lze považovat PP 2.1 z pohledu ČR za splněnou (v souladu s Akčním plánem k PP s termínem 30.</w:t>
      </w:r>
      <w:r w:rsidR="00813BA4">
        <w:rPr>
          <w:rFonts w:ascii="Arial" w:eastAsia="Times New Roman" w:hAnsi="Arial" w:cs="Arial"/>
          <w:sz w:val="20"/>
          <w:szCs w:val="20"/>
          <w:bdr w:val="none" w:sz="0" w:space="0" w:color="auto" w:frame="1"/>
          <w:lang w:eastAsia="en-US"/>
        </w:rPr>
        <w:t> </w:t>
      </w:r>
      <w:r w:rsidRPr="00F66A93">
        <w:rPr>
          <w:rFonts w:ascii="Arial" w:eastAsia="Times New Roman" w:hAnsi="Arial" w:cs="Arial"/>
          <w:sz w:val="20"/>
          <w:szCs w:val="20"/>
          <w:bdr w:val="none" w:sz="0" w:space="0" w:color="auto" w:frame="1"/>
          <w:lang w:eastAsia="en-US"/>
        </w:rPr>
        <w:t>června 2015), nicméně je nutná finální verifikace splnění ze strany EK.</w:t>
      </w:r>
    </w:p>
    <w:p w:rsidR="00851225" w:rsidRPr="00334AF9" w:rsidRDefault="00851225" w:rsidP="00851225">
      <w:pPr>
        <w:spacing w:before="0" w:after="120"/>
        <w:ind w:left="284"/>
        <w:contextualSpacing/>
        <w:rPr>
          <w:rFonts w:ascii="Arial" w:eastAsia="Times New Roman" w:hAnsi="Arial" w:cs="Arial"/>
          <w:sz w:val="20"/>
          <w:szCs w:val="20"/>
          <w:bdr w:val="none" w:sz="0" w:space="0" w:color="auto" w:frame="1"/>
          <w:lang w:eastAsia="en-US"/>
        </w:rPr>
      </w:pPr>
    </w:p>
    <w:p w:rsidR="00F66A93" w:rsidRPr="00F66A93" w:rsidRDefault="00F66A93" w:rsidP="00F66A93">
      <w:pPr>
        <w:spacing w:before="0"/>
        <w:rPr>
          <w:rFonts w:ascii="Arial" w:eastAsia="Times New Roman" w:hAnsi="Arial" w:cs="Arial"/>
          <w:sz w:val="20"/>
          <w:szCs w:val="20"/>
          <w:bdr w:val="none" w:sz="0" w:space="0" w:color="auto" w:frame="1"/>
        </w:rPr>
      </w:pPr>
      <w:r w:rsidRPr="00F66A93">
        <w:rPr>
          <w:rFonts w:ascii="Arial" w:hAnsi="Arial" w:cs="Arial"/>
          <w:b/>
          <w:sz w:val="20"/>
          <w:szCs w:val="20"/>
          <w:u w:val="single"/>
        </w:rPr>
        <w:t>T 2.2 Digitální růst, Infrastruktura přístupových sítí nové generace</w:t>
      </w:r>
    </w:p>
    <w:p w:rsidR="00F66A93" w:rsidRPr="00F66A93" w:rsidRDefault="00F66A93" w:rsidP="00F66A93">
      <w:pPr>
        <w:spacing w:before="0"/>
        <w:rPr>
          <w:rFonts w:ascii="Arial" w:eastAsia="Times New Roman" w:hAnsi="Arial" w:cs="Arial"/>
          <w:sz w:val="20"/>
          <w:szCs w:val="20"/>
          <w:bdr w:val="none" w:sz="0" w:space="0" w:color="auto" w:frame="1"/>
        </w:rPr>
      </w:pPr>
      <w:r w:rsidRPr="00F66A93">
        <w:rPr>
          <w:rFonts w:ascii="Arial" w:eastAsia="Times New Roman" w:hAnsi="Arial" w:cs="Arial"/>
          <w:sz w:val="20"/>
          <w:szCs w:val="20"/>
        </w:rPr>
        <w:t>(gestor: ministerstvo průmyslu a obchodu)</w:t>
      </w:r>
    </w:p>
    <w:p w:rsidR="00635931" w:rsidRPr="00334AF9" w:rsidRDefault="00F66A93" w:rsidP="00334AF9">
      <w:pPr>
        <w:pStyle w:val="Odstavecseseznamem"/>
        <w:numPr>
          <w:ilvl w:val="0"/>
          <w:numId w:val="25"/>
        </w:numPr>
        <w:spacing w:before="0"/>
        <w:ind w:left="284" w:hanging="284"/>
        <w:rPr>
          <w:rFonts w:ascii="Arial" w:hAnsi="Arial" w:cs="Arial"/>
          <w:sz w:val="20"/>
          <w:szCs w:val="20"/>
        </w:rPr>
      </w:pPr>
      <w:r w:rsidRPr="00334AF9">
        <w:rPr>
          <w:rFonts w:ascii="Arial" w:hAnsi="Arial" w:cs="Arial"/>
          <w:sz w:val="20"/>
          <w:szCs w:val="20"/>
        </w:rPr>
        <w:t>Za jedinou zcela nesplněnou PP je stále považována PP 2.2 Infrastruktura přístupových sítí nové generace. Ke splnění této PP by mělo dojít schválením Národního plánu rozvoje sítí nové generace (NPNGN) a případnými dalšími kroky. V únoru a březnu 2015 proběhlo vyhodnocení veřejné konzultace, ze které vzešly náměty a připomínky k dokumentu. Dokument byl v červnu 2015 poslán do meziresortního připomínkového řízení. V rámci MPŘ byla k dokumentu uplatněna řada připomínek i s ohledem na naplňování PP. Kromě toho však byl návrh MPO připomínkován ze strany MV, a to v podobě návrhu zcela nové verze dokumentu, což do jisté míry plyne z nově přidělené role národního koordinátora sítí nové generace v ČR (viz i Akční plán pro rozvoj digitálního trhu) a ambice realizovat velké projekty v rámci OP PIK, prioritní osy 4.</w:t>
      </w:r>
    </w:p>
    <w:p w:rsidR="00C73580" w:rsidRPr="00334AF9" w:rsidRDefault="00F66A93" w:rsidP="001106C4">
      <w:pPr>
        <w:pStyle w:val="Odstavecseseznamem"/>
        <w:numPr>
          <w:ilvl w:val="0"/>
          <w:numId w:val="25"/>
        </w:numPr>
        <w:spacing w:before="0" w:after="0"/>
        <w:ind w:left="284" w:hanging="284"/>
        <w:rPr>
          <w:rFonts w:ascii="Arial" w:hAnsi="Arial" w:cs="Arial"/>
          <w:bCs/>
          <w:sz w:val="20"/>
          <w:szCs w:val="20"/>
        </w:rPr>
      </w:pPr>
      <w:r w:rsidRPr="00334AF9">
        <w:rPr>
          <w:rFonts w:ascii="Arial" w:hAnsi="Arial" w:cs="Arial"/>
          <w:sz w:val="20"/>
          <w:szCs w:val="20"/>
        </w:rPr>
        <w:t>Na základě komunikace mezi MPO a MV je zpracovávána komp</w:t>
      </w:r>
      <w:r w:rsidR="00334AF9">
        <w:rPr>
          <w:rFonts w:ascii="Arial" w:hAnsi="Arial" w:cs="Arial"/>
          <w:sz w:val="20"/>
          <w:szCs w:val="20"/>
        </w:rPr>
        <w:t xml:space="preserve">romisní verze NPNGN, která měla </w:t>
      </w:r>
      <w:r w:rsidRPr="00334AF9">
        <w:rPr>
          <w:rFonts w:ascii="Arial" w:hAnsi="Arial" w:cs="Arial"/>
          <w:sz w:val="20"/>
          <w:szCs w:val="20"/>
        </w:rPr>
        <w:t>být znovu zaslána do nového meziresortního př</w:t>
      </w:r>
      <w:r w:rsidR="00334AF9">
        <w:rPr>
          <w:rFonts w:ascii="Arial" w:hAnsi="Arial" w:cs="Arial"/>
          <w:sz w:val="20"/>
          <w:szCs w:val="20"/>
        </w:rPr>
        <w:t xml:space="preserve">ipomínkového řízení v září 2015. </w:t>
      </w:r>
      <w:r w:rsidR="00915CF5">
        <w:rPr>
          <w:rFonts w:ascii="Arial" w:hAnsi="Arial" w:cs="Arial"/>
          <w:sz w:val="20"/>
          <w:szCs w:val="20"/>
        </w:rPr>
        <w:t>Poté</w:t>
      </w:r>
      <w:r w:rsidR="009D1843" w:rsidRPr="00334AF9">
        <w:rPr>
          <w:rFonts w:ascii="Arial" w:hAnsi="Arial" w:cs="Arial"/>
          <w:sz w:val="20"/>
          <w:szCs w:val="20"/>
        </w:rPr>
        <w:t xml:space="preserve"> MPO avizovalo, že dokument bude dopracováván do poloviny roku 2016. Důvodem je fakt, že nad obsahovým zaměřením nepanovala na národní úrovni shoda, dokument nenaplňoval předběžné podmínky a je zde potřeba kvalitativně nastavit strategický rámec pro budoucí čerpání z ESI fondů, příp. z dalších zdrojů. S posunem dopracování bude souviset i zdržení při vyhlašování relevantních výzev z OP PIK. </w:t>
      </w:r>
      <w:r w:rsidR="009D1843" w:rsidRPr="00334AF9">
        <w:rPr>
          <w:rFonts w:ascii="Arial" w:hAnsi="Arial" w:cs="Arial"/>
          <w:bCs/>
          <w:sz w:val="20"/>
          <w:szCs w:val="20"/>
        </w:rPr>
        <w:t>MPO</w:t>
      </w:r>
      <w:r w:rsidR="008E02E4" w:rsidRPr="00334AF9">
        <w:rPr>
          <w:rFonts w:ascii="Arial" w:hAnsi="Arial" w:cs="Arial"/>
          <w:bCs/>
          <w:sz w:val="20"/>
          <w:szCs w:val="20"/>
        </w:rPr>
        <w:t xml:space="preserve"> v tuto chvíli</w:t>
      </w:r>
      <w:r w:rsidR="009D1843" w:rsidRPr="00334AF9">
        <w:rPr>
          <w:rFonts w:ascii="Arial" w:hAnsi="Arial" w:cs="Arial"/>
          <w:bCs/>
          <w:sz w:val="20"/>
          <w:szCs w:val="20"/>
        </w:rPr>
        <w:t xml:space="preserve"> aktualizovalo Akční plán</w:t>
      </w:r>
      <w:r w:rsidR="008E02E4" w:rsidRPr="00334AF9">
        <w:rPr>
          <w:rFonts w:ascii="Arial" w:hAnsi="Arial" w:cs="Arial"/>
          <w:bCs/>
          <w:sz w:val="20"/>
          <w:szCs w:val="20"/>
        </w:rPr>
        <w:t xml:space="preserve"> k naplnění předběžné podmínky a tento byl zaslán Evropské komisi k vyjádření, a to</w:t>
      </w:r>
      <w:r w:rsidRPr="00334AF9">
        <w:rPr>
          <w:rFonts w:ascii="Arial" w:hAnsi="Arial" w:cs="Arial"/>
          <w:b/>
          <w:bCs/>
          <w:sz w:val="20"/>
          <w:szCs w:val="20"/>
        </w:rPr>
        <w:t xml:space="preserve"> </w:t>
      </w:r>
      <w:r w:rsidR="009D1843" w:rsidRPr="00334AF9">
        <w:rPr>
          <w:rFonts w:ascii="Arial" w:hAnsi="Arial" w:cs="Arial"/>
          <w:bCs/>
          <w:sz w:val="20"/>
          <w:szCs w:val="20"/>
        </w:rPr>
        <w:t>vč. odůvodnění</w:t>
      </w:r>
      <w:r w:rsidR="008E02E4" w:rsidRPr="00334AF9">
        <w:rPr>
          <w:rFonts w:ascii="Arial" w:hAnsi="Arial" w:cs="Arial"/>
          <w:bCs/>
          <w:sz w:val="20"/>
          <w:szCs w:val="20"/>
        </w:rPr>
        <w:t>.</w:t>
      </w:r>
      <w:r w:rsidR="00B13BC9">
        <w:rPr>
          <w:rFonts w:ascii="Arial" w:hAnsi="Arial" w:cs="Arial"/>
          <w:bCs/>
          <w:sz w:val="20"/>
          <w:szCs w:val="20"/>
        </w:rPr>
        <w:t xml:space="preserve"> MMR-NOK má přesto obavy, že</w:t>
      </w:r>
      <w:r w:rsidR="00B53FEE">
        <w:rPr>
          <w:rFonts w:ascii="Arial" w:hAnsi="Arial" w:cs="Arial"/>
          <w:bCs/>
          <w:sz w:val="20"/>
          <w:szCs w:val="20"/>
        </w:rPr>
        <w:t> </w:t>
      </w:r>
      <w:r w:rsidR="00813BA4">
        <w:rPr>
          <w:rFonts w:ascii="Arial" w:hAnsi="Arial" w:cs="Arial"/>
          <w:bCs/>
          <w:sz w:val="20"/>
          <w:szCs w:val="20"/>
        </w:rPr>
        <w:t xml:space="preserve">termín 30. června </w:t>
      </w:r>
      <w:r w:rsidR="00B13BC9">
        <w:rPr>
          <w:rFonts w:ascii="Arial" w:hAnsi="Arial" w:cs="Arial"/>
          <w:bCs/>
          <w:sz w:val="20"/>
          <w:szCs w:val="20"/>
        </w:rPr>
        <w:t>2015 pro zaslání vládou schváleného Národního plánu rozvoje sítí nové generace Evropské komisi, se nepodaří splnit</w:t>
      </w:r>
      <w:r w:rsidR="00090013">
        <w:rPr>
          <w:rFonts w:ascii="Arial" w:hAnsi="Arial" w:cs="Arial"/>
          <w:bCs/>
          <w:sz w:val="20"/>
          <w:szCs w:val="20"/>
        </w:rPr>
        <w:t>. Analýza stavu a zmapování pokrytí bude ČTÚ provedena v prvním čtvrtletí 2016</w:t>
      </w:r>
      <w:r w:rsidR="00666D0D">
        <w:rPr>
          <w:rFonts w:ascii="Arial" w:hAnsi="Arial" w:cs="Arial"/>
          <w:bCs/>
          <w:sz w:val="20"/>
          <w:szCs w:val="20"/>
        </w:rPr>
        <w:t xml:space="preserve">, následně je teprve možné stanovit strategii/plán rozvoje sítí. Při dodržení těchto </w:t>
      </w:r>
      <w:proofErr w:type="spellStart"/>
      <w:r w:rsidR="00666D0D">
        <w:rPr>
          <w:rFonts w:ascii="Arial" w:hAnsi="Arial" w:cs="Arial"/>
          <w:bCs/>
          <w:sz w:val="20"/>
          <w:szCs w:val="20"/>
        </w:rPr>
        <w:t>subkritérií</w:t>
      </w:r>
      <w:proofErr w:type="spellEnd"/>
      <w:r w:rsidR="00666D0D">
        <w:rPr>
          <w:rFonts w:ascii="Arial" w:hAnsi="Arial" w:cs="Arial"/>
          <w:bCs/>
          <w:sz w:val="20"/>
          <w:szCs w:val="20"/>
        </w:rPr>
        <w:t xml:space="preserve"> PP 2.2, které jsou však povinné, nelze předpokládat dodržení zmíněného termínu. </w:t>
      </w:r>
      <w:r w:rsidR="00B13BC9">
        <w:rPr>
          <w:rFonts w:ascii="Arial" w:hAnsi="Arial" w:cs="Arial"/>
          <w:bCs/>
          <w:sz w:val="20"/>
          <w:szCs w:val="20"/>
        </w:rPr>
        <w:t xml:space="preserve"> </w:t>
      </w:r>
      <w:r w:rsidR="009D1843" w:rsidRPr="00334AF9">
        <w:rPr>
          <w:rFonts w:ascii="Arial" w:hAnsi="Arial" w:cs="Arial"/>
          <w:bCs/>
          <w:sz w:val="20"/>
          <w:szCs w:val="20"/>
        </w:rPr>
        <w:t xml:space="preserve"> </w:t>
      </w:r>
    </w:p>
    <w:p w:rsidR="009D1843" w:rsidRPr="009D1843" w:rsidRDefault="009D1843" w:rsidP="001106C4">
      <w:pPr>
        <w:spacing w:before="0"/>
        <w:ind w:left="284"/>
        <w:contextualSpacing/>
        <w:rPr>
          <w:rFonts w:ascii="Arial" w:hAnsi="Arial" w:cs="Arial"/>
          <w:bCs/>
          <w:sz w:val="20"/>
          <w:szCs w:val="20"/>
          <w:lang w:eastAsia="en-US"/>
        </w:rPr>
      </w:pPr>
    </w:p>
    <w:p w:rsidR="00F66A93" w:rsidRPr="009D1843" w:rsidRDefault="00F66A93" w:rsidP="00913EEA">
      <w:pPr>
        <w:keepNext/>
        <w:spacing w:before="240" w:after="120"/>
        <w:ind w:left="69"/>
        <w:contextualSpacing/>
        <w:rPr>
          <w:rFonts w:ascii="Arial" w:hAnsi="Arial" w:cs="Arial"/>
          <w:b/>
          <w:sz w:val="20"/>
          <w:szCs w:val="20"/>
          <w:u w:val="single"/>
        </w:rPr>
      </w:pPr>
      <w:r w:rsidRPr="009D1843">
        <w:rPr>
          <w:rFonts w:ascii="Arial" w:hAnsi="Arial" w:cs="Arial"/>
          <w:b/>
          <w:sz w:val="20"/>
          <w:szCs w:val="20"/>
          <w:u w:val="single"/>
        </w:rPr>
        <w:t>T 3.1 a 8.2 Podpora podnikání (SBA), Samostatná výdělečná činnost, podnikání a zakládání firem</w:t>
      </w:r>
    </w:p>
    <w:p w:rsidR="00F66A93" w:rsidRPr="00F66A93" w:rsidRDefault="00F66A93" w:rsidP="00F66A93">
      <w:pPr>
        <w:spacing w:before="0"/>
        <w:rPr>
          <w:rFonts w:ascii="Arial" w:eastAsia="Times New Roman" w:hAnsi="Arial" w:cs="Arial"/>
          <w:b/>
          <w:sz w:val="20"/>
          <w:szCs w:val="20"/>
        </w:rPr>
      </w:pPr>
      <w:r w:rsidRPr="00F66A93">
        <w:rPr>
          <w:rFonts w:ascii="Arial" w:eastAsia="Times New Roman" w:hAnsi="Arial" w:cs="Arial"/>
          <w:sz w:val="20"/>
          <w:szCs w:val="20"/>
        </w:rPr>
        <w:t>(gestor: ministerstvo spravedlnosti)</w:t>
      </w:r>
    </w:p>
    <w:p w:rsidR="00F66A93" w:rsidRPr="00F66A93" w:rsidRDefault="00F66A93" w:rsidP="00F66A93">
      <w:pPr>
        <w:numPr>
          <w:ilvl w:val="0"/>
          <w:numId w:val="6"/>
        </w:numPr>
        <w:spacing w:before="0"/>
        <w:ind w:left="284" w:hanging="284"/>
        <w:rPr>
          <w:rFonts w:ascii="Arial" w:eastAsia="Times New Roman" w:hAnsi="Arial" w:cs="Arial"/>
          <w:sz w:val="20"/>
          <w:szCs w:val="20"/>
        </w:rPr>
      </w:pPr>
      <w:r w:rsidRPr="00F66A93">
        <w:rPr>
          <w:rFonts w:ascii="Arial" w:eastAsia="Times New Roman" w:hAnsi="Arial" w:cs="Arial"/>
          <w:sz w:val="20"/>
          <w:szCs w:val="20"/>
        </w:rPr>
        <w:t>Ministerstvo spravedlnosti připravilo legislativně-technickou změnu směřující ke splnění požadavku na snížení nákladů nutných k založení podniku na 100 EUR.</w:t>
      </w:r>
    </w:p>
    <w:p w:rsidR="00F66A93" w:rsidRPr="00F66A93" w:rsidRDefault="00F66A93" w:rsidP="00F66A93">
      <w:pPr>
        <w:numPr>
          <w:ilvl w:val="0"/>
          <w:numId w:val="6"/>
        </w:numPr>
        <w:spacing w:before="0"/>
        <w:ind w:left="284" w:hanging="284"/>
        <w:rPr>
          <w:rFonts w:ascii="Arial" w:eastAsia="Times New Roman" w:hAnsi="Arial" w:cs="Arial"/>
          <w:sz w:val="20"/>
          <w:szCs w:val="20"/>
        </w:rPr>
      </w:pPr>
      <w:r w:rsidRPr="00F66A93">
        <w:rPr>
          <w:rFonts w:ascii="Arial" w:eastAsia="Times New Roman" w:hAnsi="Arial" w:cs="Arial"/>
          <w:sz w:val="20"/>
          <w:szCs w:val="20"/>
        </w:rPr>
        <w:t xml:space="preserve">V novele je nově zapracováno osvobození od soudního poplatku v souvislosti se založením podniku v souladu s Akčním plánem pro tematické předběžné podmínky 3.1 a 8.2. V návrhu novely vyhlášky je uvedena odměna notáře (což představuje jedinou položku pro založení podniku) ve výši 2 000 Kč, což souhlasí s podmínkou snížení nákladů nutných k založení podniku do 100 EUR. </w:t>
      </w:r>
    </w:p>
    <w:p w:rsidR="00F66A93" w:rsidRPr="00261C4D" w:rsidRDefault="00F66A93" w:rsidP="002120C4">
      <w:pPr>
        <w:numPr>
          <w:ilvl w:val="0"/>
          <w:numId w:val="6"/>
        </w:numPr>
        <w:spacing w:before="0"/>
        <w:ind w:left="284" w:hanging="284"/>
        <w:rPr>
          <w:rFonts w:ascii="Arial" w:eastAsia="Calibri" w:hAnsi="Arial" w:cs="Arial"/>
          <w:sz w:val="20"/>
          <w:szCs w:val="20"/>
        </w:rPr>
      </w:pPr>
      <w:r w:rsidRPr="00F66A93">
        <w:rPr>
          <w:rFonts w:ascii="Arial" w:eastAsia="Times New Roman" w:hAnsi="Arial" w:cs="Arial"/>
          <w:sz w:val="20"/>
          <w:szCs w:val="20"/>
        </w:rPr>
        <w:t xml:space="preserve">Novela návrhu zákona byla dne 18. května 2015 projednána a schválena vládou. </w:t>
      </w:r>
      <w:r w:rsidRPr="00F66A93">
        <w:rPr>
          <w:rFonts w:ascii="Arial" w:eastAsia="Times New Roman" w:hAnsi="Arial" w:cs="Arial"/>
          <w:sz w:val="20"/>
          <w:szCs w:val="20"/>
        </w:rPr>
        <w:br/>
        <w:t>Dne 27. května 2015 byl návrh zákona zaslán k podpisu předsedovi vlády.</w:t>
      </w:r>
      <w:r w:rsidRPr="00F66A93">
        <w:rPr>
          <w:rFonts w:ascii="Arial" w:hAnsi="Arial" w:cs="Arial"/>
          <w:sz w:val="20"/>
          <w:szCs w:val="20"/>
        </w:rPr>
        <w:t xml:space="preserve"> Dne 7. července 2015 byla novela </w:t>
      </w:r>
      <w:r w:rsidRPr="00F66A93">
        <w:rPr>
          <w:rFonts w:ascii="Arial" w:eastAsia="Calibri" w:hAnsi="Arial" w:cs="Arial"/>
          <w:sz w:val="20"/>
          <w:szCs w:val="20"/>
        </w:rPr>
        <w:t>zařazena do prvního čtení v Poslanecké sněmovně (sněmovní tisk 497). Následně</w:t>
      </w:r>
      <w:r w:rsidR="00B53FEE">
        <w:rPr>
          <w:rFonts w:ascii="Arial" w:eastAsia="Calibri" w:hAnsi="Arial" w:cs="Arial"/>
          <w:sz w:val="20"/>
          <w:szCs w:val="20"/>
        </w:rPr>
        <w:t> </w:t>
      </w:r>
      <w:r w:rsidRPr="00F66A93">
        <w:rPr>
          <w:rFonts w:ascii="Arial" w:hAnsi="Arial" w:cs="Arial"/>
          <w:sz w:val="20"/>
          <w:szCs w:val="20"/>
        </w:rPr>
        <w:t>předložena k </w:t>
      </w:r>
      <w:r w:rsidRPr="00F66A93">
        <w:rPr>
          <w:rFonts w:ascii="Arial" w:eastAsia="Calibri" w:hAnsi="Arial" w:cs="Arial"/>
          <w:sz w:val="20"/>
          <w:szCs w:val="20"/>
        </w:rPr>
        <w:t xml:space="preserve">projednání Ústavně právnímu výboru dne 3. září 2015. Ústavně právní výbor novelu doporučil </w:t>
      </w:r>
      <w:r w:rsidR="00962058">
        <w:rPr>
          <w:rFonts w:ascii="Arial" w:eastAsia="Calibri" w:hAnsi="Arial" w:cs="Arial"/>
          <w:sz w:val="20"/>
          <w:szCs w:val="20"/>
        </w:rPr>
        <w:t>ke</w:t>
      </w:r>
      <w:r w:rsidR="002120C4">
        <w:rPr>
          <w:rFonts w:ascii="Arial" w:eastAsia="Calibri" w:hAnsi="Arial" w:cs="Arial"/>
          <w:sz w:val="20"/>
          <w:szCs w:val="20"/>
        </w:rPr>
        <w:t xml:space="preserve"> schvál</w:t>
      </w:r>
      <w:r w:rsidR="00962058">
        <w:rPr>
          <w:rFonts w:ascii="Arial" w:eastAsia="Calibri" w:hAnsi="Arial" w:cs="Arial"/>
          <w:sz w:val="20"/>
          <w:szCs w:val="20"/>
        </w:rPr>
        <w:t>ení</w:t>
      </w:r>
      <w:r w:rsidR="002120C4">
        <w:rPr>
          <w:rFonts w:ascii="Arial" w:eastAsia="Calibri" w:hAnsi="Arial" w:cs="Arial"/>
          <w:sz w:val="20"/>
          <w:szCs w:val="20"/>
        </w:rPr>
        <w:t xml:space="preserve">, </w:t>
      </w:r>
      <w:r w:rsidR="002120C4" w:rsidRPr="002120C4">
        <w:rPr>
          <w:rFonts w:ascii="Arial" w:eastAsia="Calibri" w:hAnsi="Arial" w:cs="Arial"/>
          <w:sz w:val="20"/>
          <w:szCs w:val="20"/>
        </w:rPr>
        <w:t xml:space="preserve">druhé čtení relevantní legislativy </w:t>
      </w:r>
      <w:r w:rsidR="00FD02E8">
        <w:rPr>
          <w:rFonts w:ascii="Arial" w:eastAsia="Calibri" w:hAnsi="Arial" w:cs="Arial"/>
          <w:sz w:val="20"/>
          <w:szCs w:val="20"/>
        </w:rPr>
        <w:t>se očekává v polovině listopadu 2015.</w:t>
      </w:r>
    </w:p>
    <w:p w:rsidR="00C17092" w:rsidRDefault="00C17092" w:rsidP="003A2070">
      <w:pPr>
        <w:numPr>
          <w:ilvl w:val="0"/>
          <w:numId w:val="6"/>
        </w:numPr>
        <w:spacing w:before="0"/>
        <w:ind w:left="284" w:hanging="284"/>
        <w:rPr>
          <w:rFonts w:ascii="Arial" w:eastAsia="Times New Roman" w:hAnsi="Arial" w:cs="Arial"/>
          <w:sz w:val="20"/>
          <w:szCs w:val="20"/>
        </w:rPr>
      </w:pPr>
      <w:r w:rsidRPr="00C17092">
        <w:rPr>
          <w:rFonts w:ascii="Arial" w:eastAsia="Times New Roman" w:hAnsi="Arial" w:cs="Arial"/>
          <w:sz w:val="20"/>
          <w:szCs w:val="20"/>
        </w:rPr>
        <w:lastRenderedPageBreak/>
        <w:t>V</w:t>
      </w:r>
      <w:r w:rsidR="00F66A93" w:rsidRPr="00C17092">
        <w:rPr>
          <w:rFonts w:ascii="Arial" w:eastAsia="Times New Roman" w:hAnsi="Arial" w:cs="Arial"/>
          <w:sz w:val="20"/>
          <w:szCs w:val="20"/>
        </w:rPr>
        <w:t xml:space="preserve">livem </w:t>
      </w:r>
      <w:r w:rsidR="00EA3F59">
        <w:rPr>
          <w:rFonts w:ascii="Arial" w:eastAsia="Times New Roman" w:hAnsi="Arial" w:cs="Arial"/>
          <w:sz w:val="20"/>
          <w:szCs w:val="20"/>
        </w:rPr>
        <w:t xml:space="preserve">pozdržení v </w:t>
      </w:r>
      <w:r w:rsidR="00F66A93" w:rsidRPr="00C17092">
        <w:rPr>
          <w:rFonts w:ascii="Arial" w:eastAsia="Times New Roman" w:hAnsi="Arial" w:cs="Arial"/>
          <w:sz w:val="20"/>
          <w:szCs w:val="20"/>
        </w:rPr>
        <w:t xml:space="preserve">procesu schvalování </w:t>
      </w:r>
      <w:r w:rsidRPr="00C17092">
        <w:rPr>
          <w:rFonts w:ascii="Arial" w:eastAsia="Times New Roman" w:hAnsi="Arial" w:cs="Arial"/>
          <w:sz w:val="20"/>
          <w:szCs w:val="20"/>
        </w:rPr>
        <w:t>byl upraven Akční plán ke splnění předběžných podmínek s termínem splnění 1. února 2016</w:t>
      </w:r>
      <w:r w:rsidR="00EA3F59">
        <w:rPr>
          <w:rFonts w:ascii="Arial" w:eastAsia="Times New Roman" w:hAnsi="Arial" w:cs="Arial"/>
          <w:sz w:val="20"/>
          <w:szCs w:val="20"/>
        </w:rPr>
        <w:t>, kdy by rovněž měla novela</w:t>
      </w:r>
      <w:r w:rsidR="003A2070">
        <w:rPr>
          <w:rFonts w:ascii="Arial" w:eastAsia="Times New Roman" w:hAnsi="Arial" w:cs="Arial"/>
          <w:sz w:val="20"/>
          <w:szCs w:val="20"/>
        </w:rPr>
        <w:t xml:space="preserve"> nabýt účinnosti. Akční plán se </w:t>
      </w:r>
      <w:r>
        <w:rPr>
          <w:rFonts w:ascii="Arial" w:eastAsia="Times New Roman" w:hAnsi="Arial" w:cs="Arial"/>
          <w:sz w:val="20"/>
          <w:szCs w:val="20"/>
        </w:rPr>
        <w:t xml:space="preserve">změnou termínu byl zaslán EK k vyjádření. </w:t>
      </w:r>
      <w:r w:rsidRPr="00C17092">
        <w:rPr>
          <w:rFonts w:ascii="Arial" w:eastAsia="Times New Roman" w:hAnsi="Arial" w:cs="Arial"/>
          <w:sz w:val="20"/>
          <w:szCs w:val="20"/>
        </w:rPr>
        <w:t xml:space="preserve"> </w:t>
      </w:r>
    </w:p>
    <w:p w:rsidR="00F66A93" w:rsidRPr="00C17092" w:rsidRDefault="00F66A93" w:rsidP="00C17092">
      <w:pPr>
        <w:spacing w:before="0"/>
        <w:ind w:left="426"/>
        <w:rPr>
          <w:rFonts w:ascii="Arial" w:eastAsia="Times New Roman" w:hAnsi="Arial" w:cs="Arial"/>
          <w:b/>
          <w:sz w:val="20"/>
          <w:szCs w:val="20"/>
        </w:rPr>
      </w:pPr>
    </w:p>
    <w:p w:rsidR="00F66A93" w:rsidRPr="00F66A93" w:rsidRDefault="00F66A93" w:rsidP="001106C4">
      <w:pPr>
        <w:spacing w:before="0"/>
        <w:rPr>
          <w:rFonts w:ascii="Arial" w:eastAsia="Times New Roman" w:hAnsi="Arial" w:cs="Arial"/>
          <w:b/>
          <w:sz w:val="20"/>
          <w:szCs w:val="20"/>
        </w:rPr>
      </w:pPr>
      <w:r w:rsidRPr="00F66A93">
        <w:rPr>
          <w:rFonts w:ascii="Arial" w:eastAsia="Times New Roman" w:hAnsi="Arial" w:cs="Arial"/>
          <w:b/>
          <w:sz w:val="20"/>
          <w:szCs w:val="20"/>
          <w:u w:val="single"/>
        </w:rPr>
        <w:t>T 4.1 Energetická účinnost</w:t>
      </w:r>
      <w:r w:rsidRPr="00F66A93">
        <w:rPr>
          <w:rFonts w:ascii="Arial" w:eastAsia="Times New Roman" w:hAnsi="Arial" w:cs="Arial"/>
          <w:b/>
          <w:sz w:val="20"/>
          <w:szCs w:val="20"/>
        </w:rPr>
        <w:t xml:space="preserve"> </w:t>
      </w:r>
    </w:p>
    <w:p w:rsidR="00F66A93" w:rsidRPr="00F66A93" w:rsidRDefault="00F66A93" w:rsidP="001106C4">
      <w:pPr>
        <w:spacing w:before="0"/>
        <w:rPr>
          <w:rFonts w:ascii="Arial" w:eastAsia="Times New Roman" w:hAnsi="Arial" w:cs="Arial"/>
          <w:sz w:val="20"/>
          <w:szCs w:val="20"/>
        </w:rPr>
      </w:pPr>
      <w:r w:rsidRPr="00F66A93">
        <w:rPr>
          <w:rFonts w:ascii="Arial" w:eastAsia="Times New Roman" w:hAnsi="Arial" w:cs="Arial"/>
          <w:sz w:val="20"/>
          <w:szCs w:val="20"/>
        </w:rPr>
        <w:t>(gestor: ministerstvo průmyslu a obchodu)</w:t>
      </w:r>
    </w:p>
    <w:p w:rsidR="00F66A93" w:rsidRPr="00F66A93" w:rsidRDefault="00F66A93" w:rsidP="001106C4">
      <w:pPr>
        <w:numPr>
          <w:ilvl w:val="0"/>
          <w:numId w:val="6"/>
        </w:numPr>
        <w:spacing w:before="0"/>
        <w:ind w:left="284" w:hanging="284"/>
        <w:rPr>
          <w:rFonts w:ascii="Arial" w:eastAsia="Times New Roman" w:hAnsi="Arial" w:cs="Arial"/>
          <w:sz w:val="20"/>
          <w:szCs w:val="20"/>
        </w:rPr>
      </w:pPr>
      <w:r w:rsidRPr="00F66A93">
        <w:rPr>
          <w:rFonts w:ascii="Arial" w:eastAsia="Times New Roman" w:hAnsi="Arial" w:cs="Arial"/>
          <w:sz w:val="20"/>
          <w:szCs w:val="20"/>
        </w:rPr>
        <w:t xml:space="preserve">Došlo k posunu termínu přislíbeného v  Akčním plánu k předběžné podmínce 4.1, který byl EK verifikován v rámci procesu schvalování operačních programů (z 1. července 2015 na 1. ledna 2016, kdy nabyde účinnosti novela zákona č. 458/2000 Sb. a novela vyhlášky č. 78/2013 Sb.), což potencionálně může být problém pro pět programů, které tuto PP aplikují. MPO zpracovalo v této věci aktualizaci Akčního plánu a připravilo zdůvodnění pro EK, proč došlo k posunu nabytí účinnosti novel, tj. porušení Akčního plánu. </w:t>
      </w:r>
    </w:p>
    <w:p w:rsidR="00F66A93" w:rsidRDefault="00F66A93" w:rsidP="00F66A93">
      <w:pPr>
        <w:numPr>
          <w:ilvl w:val="0"/>
          <w:numId w:val="6"/>
        </w:numPr>
        <w:spacing w:before="0"/>
        <w:ind w:left="284" w:hanging="284"/>
        <w:rPr>
          <w:rFonts w:ascii="Arial" w:eastAsia="Times New Roman" w:hAnsi="Arial" w:cs="Arial"/>
          <w:sz w:val="20"/>
          <w:szCs w:val="20"/>
        </w:rPr>
      </w:pPr>
      <w:r w:rsidRPr="00F66A93">
        <w:rPr>
          <w:rFonts w:ascii="Arial" w:eastAsia="Times New Roman" w:hAnsi="Arial" w:cs="Arial"/>
          <w:sz w:val="20"/>
          <w:szCs w:val="20"/>
        </w:rPr>
        <w:t xml:space="preserve">Byla přijata novela zákona č. 406/2000 Sb., o hospodaření energií, která je platná od 4. května 2015 s účinností od 1. července 2015 (zákon číslo 103/2015 Sb.) a novela zákona č. 458/2000Sb., </w:t>
      </w:r>
      <w:r w:rsidRPr="00F66A93">
        <w:rPr>
          <w:rFonts w:ascii="Arial" w:eastAsia="Times New Roman" w:hAnsi="Arial" w:cs="Arial"/>
          <w:sz w:val="20"/>
          <w:szCs w:val="20"/>
        </w:rPr>
        <w:br/>
        <w:t xml:space="preserve">tzn. energetického zákona, která byla podepsána prezidentem s účinností </w:t>
      </w:r>
      <w:r w:rsidR="00B53FEE">
        <w:rPr>
          <w:rFonts w:ascii="Arial" w:eastAsia="Times New Roman" w:hAnsi="Arial" w:cs="Arial"/>
          <w:sz w:val="20"/>
          <w:szCs w:val="20"/>
        </w:rPr>
        <w:t xml:space="preserve">od </w:t>
      </w:r>
      <w:r w:rsidRPr="00F66A93">
        <w:rPr>
          <w:rFonts w:ascii="Arial" w:eastAsia="Times New Roman" w:hAnsi="Arial" w:cs="Arial"/>
          <w:sz w:val="20"/>
          <w:szCs w:val="20"/>
        </w:rPr>
        <w:t xml:space="preserve">1. ledna 2016. Přijaté legislativní akty byly zaslány EK k verifikaci. Tímto lze tedy považovat PP ze strany ČR za částečně splněnou. Na základě informací uvedených ve Čtvrtletní zprávě EK však vyjádřila nesouhlas s deklarovaným částečným plněním z důvodu stále probíhajících </w:t>
      </w:r>
      <w:proofErr w:type="spellStart"/>
      <w:r w:rsidRPr="00F66A93">
        <w:rPr>
          <w:rFonts w:ascii="Arial" w:eastAsia="Times New Roman" w:hAnsi="Arial" w:cs="Arial"/>
          <w:sz w:val="20"/>
          <w:szCs w:val="20"/>
        </w:rPr>
        <w:t>infringmentových</w:t>
      </w:r>
      <w:proofErr w:type="spellEnd"/>
      <w:r w:rsidRPr="00F66A93">
        <w:rPr>
          <w:rFonts w:ascii="Arial" w:eastAsia="Times New Roman" w:hAnsi="Arial" w:cs="Arial"/>
          <w:sz w:val="20"/>
          <w:szCs w:val="20"/>
        </w:rPr>
        <w:t xml:space="preserve"> řízení o porušení práva EU ve věci implementace směrnic 2012/27/EU a 2010/31/EU a neukončené notifikace relevantní legislativy. Na základě výše uvedeného EK považuje tuto PP stále za nesplněnou. Nicméně je na národní úrovni PP dále považována za částečně splněnou.</w:t>
      </w:r>
    </w:p>
    <w:p w:rsidR="00AA7C56" w:rsidRDefault="00AA7C56" w:rsidP="00AA7C56">
      <w:pPr>
        <w:numPr>
          <w:ilvl w:val="0"/>
          <w:numId w:val="6"/>
        </w:numPr>
        <w:spacing w:before="0"/>
        <w:ind w:left="284" w:hanging="284"/>
        <w:rPr>
          <w:rFonts w:ascii="Arial" w:eastAsia="Times New Roman" w:hAnsi="Arial" w:cs="Arial"/>
          <w:sz w:val="20"/>
          <w:szCs w:val="20"/>
        </w:rPr>
      </w:pPr>
      <w:r>
        <w:rPr>
          <w:rFonts w:ascii="Arial" w:eastAsia="Times New Roman" w:hAnsi="Arial" w:cs="Arial"/>
          <w:sz w:val="20"/>
          <w:szCs w:val="20"/>
        </w:rPr>
        <w:t>N</w:t>
      </w:r>
      <w:r w:rsidRPr="00AA7C56">
        <w:rPr>
          <w:rFonts w:ascii="Arial" w:eastAsia="Times New Roman" w:hAnsi="Arial" w:cs="Arial"/>
          <w:sz w:val="20"/>
          <w:szCs w:val="20"/>
        </w:rPr>
        <w:t xml:space="preserve">a základě rozhodnutí </w:t>
      </w:r>
      <w:proofErr w:type="spellStart"/>
      <w:r w:rsidRPr="00AA7C56">
        <w:rPr>
          <w:rFonts w:ascii="Arial" w:eastAsia="Times New Roman" w:hAnsi="Arial" w:cs="Arial"/>
          <w:sz w:val="20"/>
          <w:szCs w:val="20"/>
        </w:rPr>
        <w:t>infringementového</w:t>
      </w:r>
      <w:proofErr w:type="spellEnd"/>
      <w:r w:rsidRPr="00AA7C56">
        <w:rPr>
          <w:rFonts w:ascii="Arial" w:eastAsia="Times New Roman" w:hAnsi="Arial" w:cs="Arial"/>
          <w:sz w:val="20"/>
          <w:szCs w:val="20"/>
        </w:rPr>
        <w:t xml:space="preserve"> kolegia EK bylo koncem září 2015 zastaveno řízení o</w:t>
      </w:r>
      <w:r w:rsidR="00B53FEE">
        <w:rPr>
          <w:rFonts w:ascii="Arial" w:eastAsia="Times New Roman" w:hAnsi="Arial" w:cs="Arial"/>
          <w:sz w:val="20"/>
          <w:szCs w:val="20"/>
        </w:rPr>
        <w:t> </w:t>
      </w:r>
      <w:r w:rsidRPr="00AA7C56">
        <w:rPr>
          <w:rFonts w:ascii="Arial" w:eastAsia="Times New Roman" w:hAnsi="Arial" w:cs="Arial"/>
          <w:sz w:val="20"/>
          <w:szCs w:val="20"/>
        </w:rPr>
        <w:t xml:space="preserve">porušení Smlouvy č. 2012/0335, které se týkalo </w:t>
      </w:r>
      <w:proofErr w:type="spellStart"/>
      <w:r w:rsidRPr="00AA7C56">
        <w:rPr>
          <w:rFonts w:ascii="Arial" w:eastAsia="Times New Roman" w:hAnsi="Arial" w:cs="Arial"/>
          <w:sz w:val="20"/>
          <w:szCs w:val="20"/>
        </w:rPr>
        <w:t>nenotifikace</w:t>
      </w:r>
      <w:proofErr w:type="spellEnd"/>
      <w:r w:rsidRPr="00AA7C56">
        <w:rPr>
          <w:rFonts w:ascii="Arial" w:eastAsia="Times New Roman" w:hAnsi="Arial" w:cs="Arial"/>
          <w:sz w:val="20"/>
          <w:szCs w:val="20"/>
        </w:rPr>
        <w:t xml:space="preserve"> transpozičních předpisů u směrnice 2010/31/EU o energetické náročnosti budov. Toto řízení mělo vazbu na 2 kritéria PP 4.1.  </w:t>
      </w:r>
    </w:p>
    <w:p w:rsidR="00AA7C56" w:rsidRPr="00AA7C56" w:rsidRDefault="00AA7C56" w:rsidP="00AA7C56">
      <w:pPr>
        <w:numPr>
          <w:ilvl w:val="0"/>
          <w:numId w:val="6"/>
        </w:numPr>
        <w:spacing w:before="0"/>
        <w:ind w:left="284" w:hanging="284"/>
        <w:rPr>
          <w:rFonts w:ascii="Arial" w:eastAsia="Times New Roman" w:hAnsi="Arial" w:cs="Arial"/>
          <w:sz w:val="20"/>
          <w:szCs w:val="20"/>
        </w:rPr>
      </w:pPr>
      <w:r w:rsidRPr="00AA7C56">
        <w:rPr>
          <w:rFonts w:ascii="Arial" w:eastAsia="Times New Roman" w:hAnsi="Arial" w:cs="Arial"/>
          <w:sz w:val="20"/>
          <w:szCs w:val="20"/>
        </w:rPr>
        <w:t xml:space="preserve"> U PP 4.1 </w:t>
      </w:r>
      <w:r>
        <w:rPr>
          <w:rFonts w:ascii="Arial" w:eastAsia="Times New Roman" w:hAnsi="Arial" w:cs="Arial"/>
          <w:sz w:val="20"/>
          <w:szCs w:val="20"/>
        </w:rPr>
        <w:t xml:space="preserve">nicméně stále </w:t>
      </w:r>
      <w:r w:rsidRPr="00AA7C56">
        <w:rPr>
          <w:rFonts w:ascii="Arial" w:eastAsia="Times New Roman" w:hAnsi="Arial" w:cs="Arial"/>
          <w:sz w:val="20"/>
          <w:szCs w:val="20"/>
        </w:rPr>
        <w:t>probíhá řízení č. 2014/0317, tj. nenotifikační ke směrnici k </w:t>
      </w:r>
      <w:r w:rsidR="000F3A48" w:rsidRPr="000F3A48">
        <w:rPr>
          <w:rFonts w:ascii="Arial" w:eastAsia="Times New Roman" w:hAnsi="Arial" w:cs="Arial"/>
          <w:sz w:val="20"/>
          <w:szCs w:val="20"/>
        </w:rPr>
        <w:t>2012/27/EU o</w:t>
      </w:r>
      <w:r w:rsidR="00B53FEE">
        <w:rPr>
          <w:rFonts w:ascii="Arial" w:eastAsia="Times New Roman" w:hAnsi="Arial" w:cs="Arial"/>
          <w:sz w:val="20"/>
          <w:szCs w:val="20"/>
        </w:rPr>
        <w:t> </w:t>
      </w:r>
      <w:r w:rsidRPr="00AA7C56">
        <w:rPr>
          <w:rFonts w:ascii="Arial" w:eastAsia="Times New Roman" w:hAnsi="Arial" w:cs="Arial"/>
          <w:sz w:val="20"/>
          <w:szCs w:val="20"/>
        </w:rPr>
        <w:t xml:space="preserve">energetické účinnost. Ač byla 30. června 2015 notifikována plná transpozice, EK po prostudování usoudila, že transpozice není dostatečná a na </w:t>
      </w:r>
      <w:proofErr w:type="spellStart"/>
      <w:r w:rsidRPr="00AA7C56">
        <w:rPr>
          <w:rFonts w:ascii="Arial" w:eastAsia="Times New Roman" w:hAnsi="Arial" w:cs="Arial"/>
          <w:sz w:val="20"/>
          <w:szCs w:val="20"/>
        </w:rPr>
        <w:t>infringementovém</w:t>
      </w:r>
      <w:proofErr w:type="spellEnd"/>
      <w:r w:rsidRPr="00AA7C56">
        <w:rPr>
          <w:rFonts w:ascii="Arial" w:eastAsia="Times New Roman" w:hAnsi="Arial" w:cs="Arial"/>
          <w:sz w:val="20"/>
          <w:szCs w:val="20"/>
        </w:rPr>
        <w:t xml:space="preserve"> kolegiu minulý týden posunula řízení do fáze odůvodněného stanoviska. V této souvislosti bude s nejvyšší pravděpodobností zorganizována schůzka s EK v průběhu listopadu, v zájmu zvýšení komunikace a efektivnosti odpovědi ČR.</w:t>
      </w:r>
    </w:p>
    <w:p w:rsidR="00F66A93" w:rsidRPr="00F66A93" w:rsidRDefault="00F66A93" w:rsidP="00F66A93">
      <w:pPr>
        <w:numPr>
          <w:ilvl w:val="0"/>
          <w:numId w:val="6"/>
        </w:numPr>
        <w:spacing w:before="0"/>
        <w:ind w:left="284" w:hanging="284"/>
        <w:rPr>
          <w:rFonts w:ascii="Arial" w:eastAsia="Times New Roman" w:hAnsi="Arial" w:cs="Arial"/>
          <w:sz w:val="20"/>
          <w:szCs w:val="20"/>
        </w:rPr>
      </w:pPr>
      <w:r w:rsidRPr="00F66A93">
        <w:rPr>
          <w:rFonts w:ascii="Arial" w:eastAsia="Times New Roman" w:hAnsi="Arial" w:cs="Arial"/>
          <w:sz w:val="20"/>
          <w:szCs w:val="20"/>
        </w:rPr>
        <w:t>EK v rámci reakce na Čtvrtletní zprávu dále vyzvala zástupce MPO k zaslání vyjádření ohledně změny národního indikativního cíle v oblasti energetické účinnosti, který byl EK předložen v lednové verzi Národního akčního plánu pro energetickou účinnost (NAPEE) z roku 2015. EK</w:t>
      </w:r>
      <w:r w:rsidR="00B53FEE">
        <w:rPr>
          <w:rFonts w:ascii="Arial" w:eastAsia="Times New Roman" w:hAnsi="Arial" w:cs="Arial"/>
          <w:sz w:val="20"/>
          <w:szCs w:val="20"/>
        </w:rPr>
        <w:t> </w:t>
      </w:r>
      <w:r w:rsidRPr="00F66A93">
        <w:rPr>
          <w:rFonts w:ascii="Arial" w:eastAsia="Times New Roman" w:hAnsi="Arial" w:cs="Arial"/>
          <w:sz w:val="20"/>
          <w:szCs w:val="20"/>
        </w:rPr>
        <w:t xml:space="preserve">požaduje k provedeným dílčím aktualizacím jednoznačné vysvětlení. Vysvětlení týkající se důvodů rozdílného stanovení indikativního cíle energetické účinnosti (využití metodiky IEA, nedostupnost potřebných dat </w:t>
      </w:r>
      <w:proofErr w:type="spellStart"/>
      <w:r w:rsidRPr="00F66A93">
        <w:rPr>
          <w:rFonts w:ascii="Arial" w:eastAsia="Times New Roman" w:hAnsi="Arial" w:cs="Arial"/>
          <w:sz w:val="20"/>
          <w:szCs w:val="20"/>
        </w:rPr>
        <w:t>Eurostat</w:t>
      </w:r>
      <w:proofErr w:type="spellEnd"/>
      <w:r w:rsidRPr="00F66A93">
        <w:rPr>
          <w:rFonts w:ascii="Arial" w:eastAsia="Times New Roman" w:hAnsi="Arial" w:cs="Arial"/>
          <w:sz w:val="20"/>
          <w:szCs w:val="20"/>
        </w:rPr>
        <w:t>) zaslalo MPO na EK dne 20. července 2015. EK byla také informována o úkolu předložit vládě ČR aktualizované znění NAPEE do konce roku 2015. Očekává se zpětná reakce EK.</w:t>
      </w:r>
    </w:p>
    <w:p w:rsidR="00AA7C56" w:rsidRDefault="00F66A93" w:rsidP="00F66A93">
      <w:pPr>
        <w:numPr>
          <w:ilvl w:val="0"/>
          <w:numId w:val="6"/>
        </w:numPr>
        <w:spacing w:before="0"/>
        <w:ind w:left="284" w:hanging="284"/>
        <w:rPr>
          <w:rFonts w:ascii="Arial" w:eastAsia="Times New Roman" w:hAnsi="Arial" w:cs="Arial"/>
          <w:sz w:val="20"/>
          <w:szCs w:val="20"/>
        </w:rPr>
      </w:pPr>
      <w:r w:rsidRPr="00F66A93">
        <w:rPr>
          <w:rFonts w:ascii="Arial" w:eastAsia="Times New Roman" w:hAnsi="Arial" w:cs="Arial"/>
          <w:sz w:val="20"/>
          <w:szCs w:val="20"/>
        </w:rPr>
        <w:t xml:space="preserve">Dále byl dokončen legislativní proces směřující k přijetí novely vyhlášky č. 78/2013 Sb., o energetické náročnosti budov, u které bylo 4. června 2015 ukončeno mezirezortní připomínkové řízení a v průběhu července a srpna byla novela vyhlášky projednána v komisích Legislativní rady vlády.  Dne 26. srpna 2015 byla novela vyhlášky podepsána ministrem s předpokládanou účinností 12/2015. </w:t>
      </w:r>
    </w:p>
    <w:p w:rsidR="00F66A93" w:rsidRPr="00F66A93" w:rsidRDefault="00F66A93" w:rsidP="00F66A93">
      <w:pPr>
        <w:keepNext/>
        <w:spacing w:before="0"/>
        <w:ind w:left="426"/>
        <w:rPr>
          <w:rFonts w:ascii="Arial" w:eastAsia="Times New Roman" w:hAnsi="Arial" w:cs="Arial"/>
          <w:sz w:val="20"/>
          <w:szCs w:val="20"/>
        </w:rPr>
      </w:pPr>
    </w:p>
    <w:p w:rsidR="00F66A93" w:rsidRPr="00F66A93" w:rsidRDefault="00F66A93" w:rsidP="00F66A93">
      <w:pPr>
        <w:keepNext/>
        <w:spacing w:before="0"/>
        <w:rPr>
          <w:rFonts w:ascii="Arial" w:hAnsi="Arial" w:cs="Arial"/>
          <w:b/>
          <w:sz w:val="20"/>
          <w:szCs w:val="20"/>
        </w:rPr>
      </w:pPr>
      <w:r w:rsidRPr="00F66A93">
        <w:rPr>
          <w:rFonts w:ascii="Arial" w:hAnsi="Arial" w:cs="Arial"/>
          <w:b/>
          <w:sz w:val="20"/>
          <w:szCs w:val="20"/>
          <w:u w:val="single"/>
        </w:rPr>
        <w:t>T 5.1 Předcházení riziku a jeho řízení</w:t>
      </w:r>
    </w:p>
    <w:p w:rsidR="00F66A93" w:rsidRPr="00F66A93" w:rsidRDefault="00F66A93" w:rsidP="00F66A93">
      <w:pPr>
        <w:keepNext/>
        <w:spacing w:before="0"/>
        <w:rPr>
          <w:rFonts w:ascii="Arial" w:hAnsi="Arial" w:cs="Arial"/>
          <w:b/>
          <w:sz w:val="20"/>
          <w:szCs w:val="20"/>
        </w:rPr>
      </w:pPr>
      <w:r w:rsidRPr="00F66A93">
        <w:rPr>
          <w:rFonts w:ascii="Arial" w:hAnsi="Arial" w:cs="Arial"/>
          <w:sz w:val="20"/>
          <w:szCs w:val="20"/>
        </w:rPr>
        <w:t>(gestor: ministerstvo životního prostředí)</w:t>
      </w:r>
    </w:p>
    <w:p w:rsidR="00F66A93" w:rsidRPr="00F66A93" w:rsidRDefault="00F66A93" w:rsidP="00F66A93">
      <w:pPr>
        <w:numPr>
          <w:ilvl w:val="0"/>
          <w:numId w:val="4"/>
        </w:numPr>
        <w:spacing w:before="0"/>
        <w:ind w:left="284" w:hanging="284"/>
        <w:rPr>
          <w:rFonts w:ascii="Arial" w:eastAsia="Times New Roman" w:hAnsi="Arial" w:cs="Arial"/>
          <w:sz w:val="20"/>
          <w:szCs w:val="20"/>
          <w:bdr w:val="none" w:sz="0" w:space="0" w:color="auto" w:frame="1"/>
        </w:rPr>
      </w:pPr>
      <w:r w:rsidRPr="00F66A93">
        <w:rPr>
          <w:rFonts w:ascii="Arial" w:eastAsia="Times New Roman" w:hAnsi="Arial" w:cs="Arial"/>
          <w:sz w:val="20"/>
          <w:szCs w:val="20"/>
          <w:bdr w:val="none" w:sz="0" w:space="0" w:color="auto" w:frame="1"/>
        </w:rPr>
        <w:t xml:space="preserve">Součástí naplňování předběžné podmínky je Strategie přizpůsobení se změně klimatu </w:t>
      </w:r>
      <w:r w:rsidRPr="00F66A93">
        <w:rPr>
          <w:rFonts w:ascii="Arial" w:eastAsia="Times New Roman" w:hAnsi="Arial" w:cs="Arial"/>
          <w:sz w:val="20"/>
          <w:szCs w:val="20"/>
          <w:bdr w:val="none" w:sz="0" w:space="0" w:color="auto" w:frame="1"/>
        </w:rPr>
        <w:br/>
        <w:t xml:space="preserve">v podmínkách ČR (Adaptační strategie) u níž od 15. května do 29. května 2015 probíhalo mezirezortní připomínkové řízení. </w:t>
      </w:r>
      <w:r w:rsidR="00DA2A57">
        <w:rPr>
          <w:rFonts w:ascii="Arial" w:eastAsia="Times New Roman" w:hAnsi="Arial" w:cs="Arial"/>
          <w:sz w:val="20"/>
          <w:szCs w:val="20"/>
          <w:bdr w:val="none" w:sz="0" w:space="0" w:color="auto" w:frame="1"/>
        </w:rPr>
        <w:t>Adaptační s</w:t>
      </w:r>
      <w:r w:rsidR="00F12591">
        <w:rPr>
          <w:rFonts w:ascii="Arial" w:eastAsia="Times New Roman" w:hAnsi="Arial" w:cs="Arial"/>
          <w:sz w:val="20"/>
          <w:szCs w:val="20"/>
          <w:bdr w:val="none" w:sz="0" w:space="0" w:color="auto" w:frame="1"/>
        </w:rPr>
        <w:t xml:space="preserve">trategie </w:t>
      </w:r>
      <w:r w:rsidR="00962058">
        <w:rPr>
          <w:rFonts w:ascii="Arial" w:eastAsia="Times New Roman" w:hAnsi="Arial" w:cs="Arial"/>
          <w:sz w:val="20"/>
          <w:szCs w:val="20"/>
          <w:bdr w:val="none" w:sz="0" w:space="0" w:color="auto" w:frame="1"/>
        </w:rPr>
        <w:t>byla</w:t>
      </w:r>
      <w:r w:rsidR="003A2070">
        <w:rPr>
          <w:rFonts w:ascii="Arial" w:eastAsia="Times New Roman" w:hAnsi="Arial" w:cs="Arial"/>
          <w:sz w:val="20"/>
          <w:szCs w:val="20"/>
          <w:bdr w:val="none" w:sz="0" w:space="0" w:color="auto" w:frame="1"/>
        </w:rPr>
        <w:t xml:space="preserve"> zařazena do programu</w:t>
      </w:r>
      <w:r w:rsidR="00F12591">
        <w:rPr>
          <w:rFonts w:ascii="Arial" w:eastAsia="Times New Roman" w:hAnsi="Arial" w:cs="Arial"/>
          <w:sz w:val="20"/>
          <w:szCs w:val="20"/>
          <w:bdr w:val="none" w:sz="0" w:space="0" w:color="auto" w:frame="1"/>
        </w:rPr>
        <w:t xml:space="preserve"> jednání vlády ČR</w:t>
      </w:r>
      <w:r w:rsidR="00DA2A57">
        <w:rPr>
          <w:rFonts w:ascii="Arial" w:eastAsia="Times New Roman" w:hAnsi="Arial" w:cs="Arial"/>
          <w:sz w:val="20"/>
          <w:szCs w:val="20"/>
          <w:bdr w:val="none" w:sz="0" w:space="0" w:color="auto" w:frame="1"/>
        </w:rPr>
        <w:t xml:space="preserve"> </w:t>
      </w:r>
      <w:r w:rsidR="00F12591">
        <w:rPr>
          <w:rFonts w:ascii="Arial" w:eastAsia="Times New Roman" w:hAnsi="Arial" w:cs="Arial"/>
          <w:sz w:val="20"/>
          <w:szCs w:val="20"/>
          <w:bdr w:val="none" w:sz="0" w:space="0" w:color="auto" w:frame="1"/>
        </w:rPr>
        <w:t>dne 26. října 2015 k projednání s </w:t>
      </w:r>
      <w:r w:rsidR="00B53FEE">
        <w:rPr>
          <w:rFonts w:ascii="Arial" w:eastAsia="Times New Roman" w:hAnsi="Arial" w:cs="Arial"/>
          <w:sz w:val="20"/>
          <w:szCs w:val="20"/>
          <w:bdr w:val="none" w:sz="0" w:space="0" w:color="auto" w:frame="1"/>
        </w:rPr>
        <w:t>rozpravou. Po schválení vládou ČR</w:t>
      </w:r>
      <w:r w:rsidR="00F12591">
        <w:rPr>
          <w:rFonts w:ascii="Arial" w:eastAsia="Times New Roman" w:hAnsi="Arial" w:cs="Arial"/>
          <w:sz w:val="20"/>
          <w:szCs w:val="20"/>
          <w:bdr w:val="none" w:sz="0" w:space="0" w:color="auto" w:frame="1"/>
        </w:rPr>
        <w:t xml:space="preserve"> by </w:t>
      </w:r>
      <w:r w:rsidR="00DA2A57">
        <w:rPr>
          <w:rFonts w:ascii="Arial" w:eastAsia="Times New Roman" w:hAnsi="Arial" w:cs="Arial"/>
          <w:sz w:val="20"/>
          <w:szCs w:val="20"/>
          <w:bdr w:val="none" w:sz="0" w:space="0" w:color="auto" w:frame="1"/>
        </w:rPr>
        <w:t xml:space="preserve">Adaptační </w:t>
      </w:r>
      <w:r w:rsidR="00F12591">
        <w:rPr>
          <w:rFonts w:ascii="Arial" w:eastAsia="Times New Roman" w:hAnsi="Arial" w:cs="Arial"/>
          <w:sz w:val="20"/>
          <w:szCs w:val="20"/>
          <w:bdr w:val="none" w:sz="0" w:space="0" w:color="auto" w:frame="1"/>
        </w:rPr>
        <w:t>s</w:t>
      </w:r>
      <w:r w:rsidRPr="00F66A93">
        <w:rPr>
          <w:rFonts w:ascii="Arial" w:eastAsia="Times New Roman" w:hAnsi="Arial" w:cs="Arial"/>
          <w:sz w:val="20"/>
          <w:szCs w:val="20"/>
          <w:bdr w:val="none" w:sz="0" w:space="0" w:color="auto" w:frame="1"/>
        </w:rPr>
        <w:t xml:space="preserve">trategie měla být následně detailizována implementačním plánem, u něhož je dopracování plánováno na konec roku 2017. </w:t>
      </w:r>
    </w:p>
    <w:p w:rsidR="00F66A93" w:rsidRPr="00F66A93" w:rsidRDefault="00F66A93" w:rsidP="00F66A93">
      <w:pPr>
        <w:numPr>
          <w:ilvl w:val="0"/>
          <w:numId w:val="4"/>
        </w:numPr>
        <w:spacing w:before="0"/>
        <w:ind w:left="284" w:hanging="284"/>
        <w:rPr>
          <w:rFonts w:ascii="Arial" w:eastAsia="Times New Roman" w:hAnsi="Arial" w:cs="Arial"/>
          <w:sz w:val="20"/>
          <w:szCs w:val="20"/>
          <w:bdr w:val="none" w:sz="0" w:space="0" w:color="auto" w:frame="1"/>
        </w:rPr>
      </w:pPr>
      <w:r w:rsidRPr="00F66A93">
        <w:rPr>
          <w:rFonts w:ascii="Arial" w:eastAsia="Times New Roman" w:hAnsi="Arial" w:cs="Arial"/>
          <w:sz w:val="20"/>
          <w:szCs w:val="20"/>
          <w:bdr w:val="none" w:sz="0" w:space="0" w:color="auto" w:frame="1"/>
        </w:rPr>
        <w:lastRenderedPageBreak/>
        <w:t>18. srpna 2015 byl návrh Adaptační strategie se žádostí o neformální zhodnocení zaslán na DG REGIO. Na začátku září EK zaslala k dokumentu své dílčí stanovisko. Reakce EK byla nejednoznač</w:t>
      </w:r>
      <w:r w:rsidR="003A2070">
        <w:rPr>
          <w:rFonts w:ascii="Arial" w:eastAsia="Times New Roman" w:hAnsi="Arial" w:cs="Arial"/>
          <w:sz w:val="20"/>
          <w:szCs w:val="20"/>
          <w:bdr w:val="none" w:sz="0" w:space="0" w:color="auto" w:frame="1"/>
        </w:rPr>
        <w:t xml:space="preserve">ná a neindikovala ani nesouhlas, </w:t>
      </w:r>
      <w:r w:rsidRPr="00F66A93">
        <w:rPr>
          <w:rFonts w:ascii="Arial" w:eastAsia="Times New Roman" w:hAnsi="Arial" w:cs="Arial"/>
          <w:sz w:val="20"/>
          <w:szCs w:val="20"/>
          <w:bdr w:val="none" w:sz="0" w:space="0" w:color="auto" w:frame="1"/>
        </w:rPr>
        <w:t xml:space="preserve">ani jasnou verifikaci podoby strategie. S ohledem na nutnost dodržení akčního plánu k předběžné podmínce MŽP strategii Vládě ČR </w:t>
      </w:r>
      <w:r w:rsidR="003A2070">
        <w:rPr>
          <w:rFonts w:ascii="Arial" w:eastAsia="Times New Roman" w:hAnsi="Arial" w:cs="Arial"/>
          <w:sz w:val="20"/>
          <w:szCs w:val="20"/>
          <w:bdr w:val="none" w:sz="0" w:space="0" w:color="auto" w:frame="1"/>
        </w:rPr>
        <w:t>již předložilo na </w:t>
      </w:r>
      <w:r w:rsidR="00261C4D">
        <w:rPr>
          <w:rFonts w:ascii="Arial" w:eastAsia="Times New Roman" w:hAnsi="Arial" w:cs="Arial"/>
          <w:sz w:val="20"/>
          <w:szCs w:val="20"/>
          <w:bdr w:val="none" w:sz="0" w:space="0" w:color="auto" w:frame="1"/>
        </w:rPr>
        <w:t>jednání dne 12. října 2015, p</w:t>
      </w:r>
      <w:r w:rsidR="00261C4D" w:rsidRPr="00712DC0">
        <w:rPr>
          <w:rFonts w:ascii="Arial" w:eastAsia="Times New Roman" w:hAnsi="Arial" w:cs="Arial"/>
          <w:sz w:val="20"/>
          <w:szCs w:val="20"/>
          <w:bdr w:val="none" w:sz="0" w:space="0" w:color="auto" w:frame="1"/>
        </w:rPr>
        <w:t xml:space="preserve">rojednávání </w:t>
      </w:r>
      <w:r w:rsidR="00261C4D">
        <w:rPr>
          <w:rFonts w:ascii="Arial" w:eastAsia="Times New Roman" w:hAnsi="Arial" w:cs="Arial"/>
          <w:sz w:val="20"/>
          <w:szCs w:val="20"/>
          <w:bdr w:val="none" w:sz="0" w:space="0" w:color="auto" w:frame="1"/>
        </w:rPr>
        <w:t xml:space="preserve">však </w:t>
      </w:r>
      <w:r w:rsidR="00261C4D" w:rsidRPr="00712DC0">
        <w:rPr>
          <w:rFonts w:ascii="Arial" w:eastAsia="Times New Roman" w:hAnsi="Arial" w:cs="Arial"/>
          <w:sz w:val="20"/>
          <w:szCs w:val="20"/>
          <w:bdr w:val="none" w:sz="0" w:space="0" w:color="auto" w:frame="1"/>
        </w:rPr>
        <w:t>bylo odloženo</w:t>
      </w:r>
      <w:r w:rsidR="00261C4D">
        <w:rPr>
          <w:rFonts w:ascii="Arial" w:eastAsia="Times New Roman" w:hAnsi="Arial" w:cs="Arial"/>
          <w:sz w:val="20"/>
          <w:szCs w:val="20"/>
          <w:bdr w:val="none" w:sz="0" w:space="0" w:color="auto" w:frame="1"/>
        </w:rPr>
        <w:t>. Strategie b</w:t>
      </w:r>
      <w:r w:rsidR="00FD02E8">
        <w:rPr>
          <w:rFonts w:ascii="Arial" w:eastAsia="Times New Roman" w:hAnsi="Arial" w:cs="Arial"/>
          <w:sz w:val="20"/>
          <w:szCs w:val="20"/>
          <w:bdr w:val="none" w:sz="0" w:space="0" w:color="auto" w:frame="1"/>
        </w:rPr>
        <w:t>yla</w:t>
      </w:r>
      <w:r w:rsidR="003A2070">
        <w:rPr>
          <w:rFonts w:ascii="Arial" w:eastAsia="Times New Roman" w:hAnsi="Arial" w:cs="Arial"/>
          <w:sz w:val="20"/>
          <w:szCs w:val="20"/>
          <w:bdr w:val="none" w:sz="0" w:space="0" w:color="auto" w:frame="1"/>
        </w:rPr>
        <w:t xml:space="preserve"> </w:t>
      </w:r>
      <w:r w:rsidR="00FD02E8">
        <w:rPr>
          <w:rFonts w:ascii="Arial" w:eastAsia="Times New Roman" w:hAnsi="Arial" w:cs="Arial"/>
          <w:sz w:val="20"/>
          <w:szCs w:val="20"/>
          <w:bdr w:val="none" w:sz="0" w:space="0" w:color="auto" w:frame="1"/>
        </w:rPr>
        <w:t xml:space="preserve">schválena </w:t>
      </w:r>
      <w:r w:rsidR="003A2070">
        <w:rPr>
          <w:rFonts w:ascii="Arial" w:eastAsia="Times New Roman" w:hAnsi="Arial" w:cs="Arial"/>
          <w:sz w:val="20"/>
          <w:szCs w:val="20"/>
          <w:bdr w:val="none" w:sz="0" w:space="0" w:color="auto" w:frame="1"/>
        </w:rPr>
        <w:t>vlád</w:t>
      </w:r>
      <w:r w:rsidR="00FD02E8">
        <w:rPr>
          <w:rFonts w:ascii="Arial" w:eastAsia="Times New Roman" w:hAnsi="Arial" w:cs="Arial"/>
          <w:sz w:val="20"/>
          <w:szCs w:val="20"/>
          <w:bdr w:val="none" w:sz="0" w:space="0" w:color="auto" w:frame="1"/>
        </w:rPr>
        <w:t xml:space="preserve">ou ČR </w:t>
      </w:r>
      <w:r w:rsidR="00261C4D">
        <w:rPr>
          <w:rFonts w:ascii="Arial" w:eastAsia="Times New Roman" w:hAnsi="Arial" w:cs="Arial"/>
          <w:sz w:val="20"/>
          <w:szCs w:val="20"/>
          <w:bdr w:val="none" w:sz="0" w:space="0" w:color="auto" w:frame="1"/>
        </w:rPr>
        <w:t>dne 26. října 2015</w:t>
      </w:r>
      <w:r w:rsidR="00904573">
        <w:rPr>
          <w:rFonts w:ascii="Arial" w:eastAsia="Times New Roman" w:hAnsi="Arial" w:cs="Arial"/>
          <w:sz w:val="20"/>
          <w:szCs w:val="20"/>
          <w:bdr w:val="none" w:sz="0" w:space="0" w:color="auto" w:frame="1"/>
        </w:rPr>
        <w:t xml:space="preserve"> a tedy byl dodržen harmonogram plnění příslušného </w:t>
      </w:r>
      <w:r w:rsidR="00FD02E8">
        <w:rPr>
          <w:rFonts w:ascii="Arial" w:eastAsia="Times New Roman" w:hAnsi="Arial" w:cs="Arial"/>
          <w:sz w:val="20"/>
          <w:szCs w:val="20"/>
          <w:bdr w:val="none" w:sz="0" w:space="0" w:color="auto" w:frame="1"/>
        </w:rPr>
        <w:t xml:space="preserve">opatření Akčního plánu k předběžné podmínce. </w:t>
      </w:r>
      <w:r w:rsidR="00261C4D">
        <w:rPr>
          <w:rFonts w:ascii="Arial" w:eastAsia="Times New Roman" w:hAnsi="Arial" w:cs="Arial"/>
          <w:sz w:val="20"/>
          <w:szCs w:val="20"/>
          <w:bdr w:val="none" w:sz="0" w:space="0" w:color="auto" w:frame="1"/>
        </w:rPr>
        <w:t>Zároveň MŽP</w:t>
      </w:r>
      <w:r w:rsidR="00261C4D" w:rsidRPr="00F66A93">
        <w:rPr>
          <w:rFonts w:ascii="Arial" w:eastAsia="Times New Roman" w:hAnsi="Arial" w:cs="Arial"/>
          <w:sz w:val="20"/>
          <w:szCs w:val="20"/>
          <w:bdr w:val="none" w:sz="0" w:space="0" w:color="auto" w:frame="1"/>
        </w:rPr>
        <w:t xml:space="preserve"> </w:t>
      </w:r>
      <w:r w:rsidRPr="00F66A93">
        <w:rPr>
          <w:rFonts w:ascii="Arial" w:eastAsia="Times New Roman" w:hAnsi="Arial" w:cs="Arial"/>
          <w:sz w:val="20"/>
          <w:szCs w:val="20"/>
          <w:bdr w:val="none" w:sz="0" w:space="0" w:color="auto" w:frame="1"/>
        </w:rPr>
        <w:t xml:space="preserve">deklarovalo svou připravenost </w:t>
      </w:r>
      <w:r w:rsidR="00962058">
        <w:rPr>
          <w:rFonts w:ascii="Arial" w:eastAsia="Times New Roman" w:hAnsi="Arial" w:cs="Arial"/>
          <w:sz w:val="20"/>
          <w:szCs w:val="20"/>
          <w:bdr w:val="none" w:sz="0" w:space="0" w:color="auto" w:frame="1"/>
        </w:rPr>
        <w:t>i</w:t>
      </w:r>
      <w:r w:rsidR="00261C4D" w:rsidRPr="00F66A93">
        <w:rPr>
          <w:rFonts w:ascii="Arial" w:eastAsia="Times New Roman" w:hAnsi="Arial" w:cs="Arial"/>
          <w:sz w:val="20"/>
          <w:szCs w:val="20"/>
          <w:bdr w:val="none" w:sz="0" w:space="0" w:color="auto" w:frame="1"/>
        </w:rPr>
        <w:t xml:space="preserve"> </w:t>
      </w:r>
      <w:r w:rsidRPr="00F66A93">
        <w:rPr>
          <w:rFonts w:ascii="Arial" w:eastAsia="Times New Roman" w:hAnsi="Arial" w:cs="Arial"/>
          <w:sz w:val="20"/>
          <w:szCs w:val="20"/>
          <w:bdr w:val="none" w:sz="0" w:space="0" w:color="auto" w:frame="1"/>
        </w:rPr>
        <w:t>nadále diskutovat tuto problematiku</w:t>
      </w:r>
      <w:r w:rsidR="00261C4D">
        <w:rPr>
          <w:rFonts w:ascii="Arial" w:eastAsia="Times New Roman" w:hAnsi="Arial" w:cs="Arial"/>
          <w:sz w:val="20"/>
          <w:szCs w:val="20"/>
          <w:bdr w:val="none" w:sz="0" w:space="0" w:color="auto" w:frame="1"/>
        </w:rPr>
        <w:t xml:space="preserve"> s</w:t>
      </w:r>
      <w:r w:rsidR="003A2070">
        <w:rPr>
          <w:rFonts w:ascii="Arial" w:eastAsia="Times New Roman" w:hAnsi="Arial" w:cs="Arial"/>
          <w:sz w:val="20"/>
          <w:szCs w:val="20"/>
          <w:bdr w:val="none" w:sz="0" w:space="0" w:color="auto" w:frame="1"/>
        </w:rPr>
        <w:t> </w:t>
      </w:r>
      <w:r w:rsidR="00261C4D">
        <w:rPr>
          <w:rFonts w:ascii="Arial" w:eastAsia="Times New Roman" w:hAnsi="Arial" w:cs="Arial"/>
          <w:sz w:val="20"/>
          <w:szCs w:val="20"/>
          <w:bdr w:val="none" w:sz="0" w:space="0" w:color="auto" w:frame="1"/>
        </w:rPr>
        <w:t>EK</w:t>
      </w:r>
      <w:r w:rsidR="003A2070">
        <w:rPr>
          <w:rFonts w:ascii="Arial" w:eastAsia="Times New Roman" w:hAnsi="Arial" w:cs="Arial"/>
          <w:sz w:val="20"/>
          <w:szCs w:val="20"/>
          <w:bdr w:val="none" w:sz="0" w:space="0" w:color="auto" w:frame="1"/>
        </w:rPr>
        <w:t>.</w:t>
      </w:r>
    </w:p>
    <w:p w:rsidR="00F66A93" w:rsidRPr="00F66A93" w:rsidRDefault="00F66A93" w:rsidP="00F66A93">
      <w:pPr>
        <w:keepNext/>
        <w:numPr>
          <w:ilvl w:val="0"/>
          <w:numId w:val="4"/>
        </w:numPr>
        <w:spacing w:before="0" w:after="120"/>
        <w:ind w:left="284" w:hanging="284"/>
        <w:contextualSpacing/>
        <w:rPr>
          <w:rFonts w:ascii="Arial" w:eastAsia="Times New Roman" w:hAnsi="Arial" w:cs="Arial"/>
          <w:sz w:val="20"/>
          <w:szCs w:val="20"/>
          <w:bdr w:val="none" w:sz="0" w:space="0" w:color="auto" w:frame="1"/>
          <w:lang w:eastAsia="en-US"/>
        </w:rPr>
      </w:pPr>
      <w:r w:rsidRPr="00F66A93">
        <w:rPr>
          <w:rFonts w:ascii="Arial" w:eastAsia="Times New Roman" w:hAnsi="Arial" w:cs="Arial"/>
          <w:sz w:val="20"/>
          <w:szCs w:val="20"/>
          <w:bdr w:val="none" w:sz="0" w:space="0" w:color="auto" w:frame="1"/>
          <w:lang w:eastAsia="en-US"/>
        </w:rPr>
        <w:t>Předběžnou podmínku naplňují i další strategické dokumenty a podklady, a to např. Plány pro zvládání povodňových rizik (do 22. června 2015 probíhaly připomínky veřejnosti, dále probíhá SEA), Plány povodí (do 22. června 2015 probíhaly připomínky veřejnosti, dále probíhá SEA), Koncepce environmentální bezpečnosti 2015–2020 s výhledem do roku 2030. Mezi podklady patří také Zpracování studie dopadů, zranitelnosti a zdrojů rizik souv</w:t>
      </w:r>
      <w:r w:rsidR="003A2070">
        <w:rPr>
          <w:rFonts w:ascii="Arial" w:eastAsia="Times New Roman" w:hAnsi="Arial" w:cs="Arial"/>
          <w:sz w:val="20"/>
          <w:szCs w:val="20"/>
          <w:bdr w:val="none" w:sz="0" w:space="0" w:color="auto" w:frame="1"/>
          <w:lang w:eastAsia="en-US"/>
        </w:rPr>
        <w:t>isejících se změnou klimatu pro </w:t>
      </w:r>
      <w:r w:rsidRPr="00F66A93">
        <w:rPr>
          <w:rFonts w:ascii="Arial" w:eastAsia="Times New Roman" w:hAnsi="Arial" w:cs="Arial"/>
          <w:sz w:val="20"/>
          <w:szCs w:val="20"/>
          <w:bdr w:val="none" w:sz="0" w:space="0" w:color="auto" w:frame="1"/>
          <w:lang w:eastAsia="en-US"/>
        </w:rPr>
        <w:t>nejohroženější sektory (</w:t>
      </w:r>
      <w:proofErr w:type="spellStart"/>
      <w:r w:rsidRPr="00F66A93">
        <w:rPr>
          <w:rFonts w:ascii="Arial" w:eastAsia="Times New Roman" w:hAnsi="Arial" w:cs="Arial"/>
          <w:sz w:val="20"/>
          <w:szCs w:val="20"/>
          <w:bdr w:val="none" w:sz="0" w:space="0" w:color="auto" w:frame="1"/>
          <w:lang w:eastAsia="en-US"/>
        </w:rPr>
        <w:t>vysoutěžena</w:t>
      </w:r>
      <w:proofErr w:type="spellEnd"/>
      <w:r w:rsidRPr="00F66A93">
        <w:rPr>
          <w:rFonts w:ascii="Arial" w:eastAsia="Times New Roman" w:hAnsi="Arial" w:cs="Arial"/>
          <w:sz w:val="20"/>
          <w:szCs w:val="20"/>
          <w:bdr w:val="none" w:sz="0" w:space="0" w:color="auto" w:frame="1"/>
          <w:lang w:eastAsia="en-US"/>
        </w:rPr>
        <w:t xml:space="preserve"> veřejná zakázka na zhotovitele projektu z TP OPŽP – „Komplexní studie“, projekt je v realizaci) a Definování kritérií pro stanovování investičních priorit v závislosti na riziku (součástí „Komplexní studie“) - tyto podklady by měly být k dispozici do konce roku 2015.</w:t>
      </w:r>
    </w:p>
    <w:p w:rsidR="00F66A93" w:rsidRPr="00F66A93" w:rsidRDefault="00F66A93" w:rsidP="00F66A93">
      <w:pPr>
        <w:keepNext/>
        <w:spacing w:before="0"/>
        <w:rPr>
          <w:rFonts w:ascii="Arial" w:hAnsi="Arial" w:cs="Arial"/>
          <w:b/>
          <w:sz w:val="20"/>
          <w:szCs w:val="20"/>
          <w:u w:val="single"/>
        </w:rPr>
      </w:pPr>
    </w:p>
    <w:p w:rsidR="00F66A93" w:rsidRPr="00F66A93" w:rsidRDefault="00F66A93" w:rsidP="00F66A93">
      <w:pPr>
        <w:keepNext/>
        <w:spacing w:before="0"/>
        <w:rPr>
          <w:rFonts w:ascii="Arial" w:hAnsi="Arial" w:cs="Arial"/>
          <w:b/>
          <w:sz w:val="20"/>
          <w:szCs w:val="20"/>
          <w:u w:val="single"/>
        </w:rPr>
      </w:pPr>
      <w:r w:rsidRPr="00F66A93">
        <w:rPr>
          <w:rFonts w:ascii="Arial" w:hAnsi="Arial" w:cs="Arial"/>
          <w:b/>
          <w:sz w:val="20"/>
          <w:szCs w:val="20"/>
          <w:u w:val="single"/>
        </w:rPr>
        <w:t>T 6.1 Vodní hospodářství</w:t>
      </w:r>
    </w:p>
    <w:p w:rsidR="00F66A93" w:rsidRPr="00F66A93" w:rsidRDefault="00F66A93" w:rsidP="00F66A93">
      <w:pPr>
        <w:spacing w:before="0"/>
        <w:rPr>
          <w:rFonts w:ascii="Arial" w:eastAsia="Times New Roman" w:hAnsi="Arial" w:cs="Arial"/>
          <w:b/>
          <w:sz w:val="20"/>
          <w:szCs w:val="20"/>
        </w:rPr>
      </w:pPr>
      <w:r w:rsidRPr="00F66A93">
        <w:rPr>
          <w:rFonts w:ascii="Arial" w:eastAsia="Times New Roman" w:hAnsi="Arial" w:cs="Arial"/>
          <w:sz w:val="20"/>
          <w:szCs w:val="20"/>
        </w:rPr>
        <w:t>(gestor: ministerstvo životního prostředí, ministerstvo zemědělství)</w:t>
      </w:r>
    </w:p>
    <w:p w:rsidR="00030014" w:rsidRDefault="00F66A93" w:rsidP="00F66A93">
      <w:pPr>
        <w:numPr>
          <w:ilvl w:val="0"/>
          <w:numId w:val="7"/>
        </w:numPr>
        <w:spacing w:before="0"/>
        <w:ind w:left="284" w:hanging="284"/>
        <w:rPr>
          <w:rFonts w:ascii="Arial" w:eastAsia="Times New Roman" w:hAnsi="Arial" w:cs="Arial"/>
          <w:sz w:val="20"/>
          <w:szCs w:val="20"/>
        </w:rPr>
      </w:pPr>
      <w:r w:rsidRPr="00F66A93">
        <w:rPr>
          <w:rFonts w:ascii="Arial" w:eastAsia="Times New Roman" w:hAnsi="Arial" w:cs="Arial"/>
          <w:sz w:val="20"/>
          <w:szCs w:val="20"/>
        </w:rPr>
        <w:t>EK požaduje vypracování ekonomické analýzy, která by měla směřovat k implementaci širší definice pro vodohospodářské služby a spočítat a zahrnout do úhrad nákladů environmentální náklady a náklady na využívané zdroje, ale i náklady generované bodovými zdroji a také difuzními a plošnými zdroji. Toto bylo promítnuto do Akčního plánu k PP 6.1 ke dni 31. března 2015.</w:t>
      </w:r>
    </w:p>
    <w:p w:rsidR="00F66A93" w:rsidRPr="00F66A93" w:rsidRDefault="00030014" w:rsidP="00F66A93">
      <w:pPr>
        <w:numPr>
          <w:ilvl w:val="0"/>
          <w:numId w:val="7"/>
        </w:numPr>
        <w:spacing w:before="0"/>
        <w:ind w:left="284" w:hanging="284"/>
        <w:rPr>
          <w:rFonts w:ascii="Arial" w:eastAsia="Times New Roman" w:hAnsi="Arial" w:cs="Arial"/>
          <w:sz w:val="20"/>
          <w:szCs w:val="20"/>
        </w:rPr>
      </w:pPr>
      <w:r w:rsidRPr="00030014">
        <w:rPr>
          <w:rFonts w:ascii="Arial" w:eastAsia="Times New Roman" w:hAnsi="Arial" w:cs="Arial"/>
          <w:sz w:val="20"/>
          <w:szCs w:val="20"/>
        </w:rPr>
        <w:t>Aktualizovaná ekonomická analýza byla zveřejněna k připomínkám veřejnosti a uživatelů vody jako součást plánů povodí (ukončeny dne 22. června 2015)</w:t>
      </w:r>
      <w:r w:rsidRPr="003C1E38">
        <w:rPr>
          <w:rFonts w:ascii="Arial" w:eastAsia="Times New Roman" w:hAnsi="Arial" w:cs="Arial"/>
          <w:sz w:val="20"/>
          <w:szCs w:val="20"/>
        </w:rPr>
        <w:t xml:space="preserve">. </w:t>
      </w:r>
      <w:r w:rsidRPr="00030014">
        <w:rPr>
          <w:rFonts w:ascii="Arial" w:eastAsia="Times New Roman" w:hAnsi="Arial" w:cs="Arial"/>
          <w:sz w:val="20"/>
          <w:szCs w:val="20"/>
        </w:rPr>
        <w:t>Do konce července probíhalo ve vzájemné spolupráci Ministerstva zemědělství, Ministerstva životního prostředí a státních podniků Povodí vypořádání došlých připomínek k zveřejněným návrhům plánů, akceptované připomínky byly zohledněny a zapracovány do textu návrhu plánů.</w:t>
      </w:r>
    </w:p>
    <w:p w:rsidR="00030014" w:rsidRDefault="00F66A93" w:rsidP="00F66A93">
      <w:pPr>
        <w:numPr>
          <w:ilvl w:val="0"/>
          <w:numId w:val="7"/>
        </w:numPr>
        <w:spacing w:before="0"/>
        <w:ind w:left="284" w:hanging="284"/>
        <w:rPr>
          <w:rFonts w:ascii="Arial" w:eastAsia="Times New Roman" w:hAnsi="Arial" w:cs="Arial"/>
          <w:sz w:val="20"/>
          <w:szCs w:val="20"/>
        </w:rPr>
      </w:pPr>
      <w:r w:rsidRPr="00F66A93">
        <w:rPr>
          <w:rFonts w:ascii="Arial" w:eastAsia="Times New Roman" w:hAnsi="Arial" w:cs="Arial"/>
          <w:sz w:val="20"/>
          <w:szCs w:val="20"/>
        </w:rPr>
        <w:t>V této souvislosti zaslalo MŽP (2. července 2015) na EK aktualizovaný návrh ekonomické analýzy (byly doplněny zejména údaje za oblast zemědělství) se žádostí o posouzení správnosti zpracování. EK však odmítla poskytnout dílčí stanoviska k materiálu s tím, že</w:t>
      </w:r>
      <w:r w:rsidR="00030014" w:rsidRPr="00030014">
        <w:rPr>
          <w:rFonts w:ascii="Arial" w:eastAsia="Calibri" w:hAnsi="Arial" w:cs="Arial"/>
          <w:sz w:val="20"/>
          <w:szCs w:val="20"/>
        </w:rPr>
        <w:t xml:space="preserve"> ekonomická analýza je součástí plánů povodí a jako jejich nedílná součást bude posuzována v příštím roce</w:t>
      </w:r>
      <w:r w:rsidRPr="00F66A93">
        <w:rPr>
          <w:rFonts w:ascii="Arial" w:eastAsia="Times New Roman" w:hAnsi="Arial" w:cs="Arial"/>
          <w:sz w:val="20"/>
          <w:szCs w:val="20"/>
        </w:rPr>
        <w:t>.</w:t>
      </w:r>
    </w:p>
    <w:p w:rsidR="00F66A93" w:rsidRPr="00F66A93" w:rsidRDefault="00030014" w:rsidP="00F66A93">
      <w:pPr>
        <w:numPr>
          <w:ilvl w:val="0"/>
          <w:numId w:val="7"/>
        </w:numPr>
        <w:spacing w:before="0"/>
        <w:ind w:left="284" w:hanging="284"/>
        <w:rPr>
          <w:rFonts w:ascii="Arial" w:eastAsia="Times New Roman" w:hAnsi="Arial" w:cs="Arial"/>
          <w:sz w:val="20"/>
          <w:szCs w:val="20"/>
        </w:rPr>
      </w:pPr>
      <w:r w:rsidRPr="00E23AB3">
        <w:rPr>
          <w:rFonts w:ascii="Arial" w:eastAsia="Calibri" w:hAnsi="Arial" w:cs="Arial"/>
          <w:sz w:val="20"/>
          <w:szCs w:val="20"/>
        </w:rPr>
        <w:t>Návrhy plánů povodí upravené dle připomínek</w:t>
      </w:r>
      <w:r>
        <w:rPr>
          <w:rFonts w:ascii="Arial" w:eastAsia="Calibri" w:hAnsi="Arial" w:cs="Arial"/>
          <w:sz w:val="20"/>
          <w:szCs w:val="20"/>
        </w:rPr>
        <w:t xml:space="preserve"> veřejnosti </w:t>
      </w:r>
      <w:r w:rsidR="00E96509" w:rsidRPr="00E23AB3">
        <w:rPr>
          <w:rFonts w:ascii="Arial" w:eastAsia="Calibri" w:hAnsi="Arial" w:cs="Arial"/>
          <w:sz w:val="20"/>
          <w:szCs w:val="20"/>
        </w:rPr>
        <w:t>a uživatelů vody</w:t>
      </w:r>
      <w:r w:rsidRPr="00E23AB3">
        <w:rPr>
          <w:rFonts w:ascii="Arial" w:eastAsia="Calibri" w:hAnsi="Arial" w:cs="Arial"/>
          <w:sz w:val="20"/>
          <w:szCs w:val="20"/>
        </w:rPr>
        <w:t xml:space="preserve"> byly předány zpracovateli posouzení vlivu koncepce na životní prostředí (SEA), a nyní jsou ve fázi hodnocení.</w:t>
      </w:r>
      <w:r w:rsidR="00E96509" w:rsidRPr="00E96509">
        <w:rPr>
          <w:rFonts w:ascii="Arial" w:eastAsia="Calibri" w:hAnsi="Arial" w:cs="Arial"/>
          <w:sz w:val="20"/>
          <w:szCs w:val="20"/>
        </w:rPr>
        <w:t xml:space="preserve"> </w:t>
      </w:r>
      <w:r w:rsidR="00E96509">
        <w:rPr>
          <w:rFonts w:ascii="Arial" w:eastAsia="Calibri" w:hAnsi="Arial" w:cs="Arial"/>
          <w:sz w:val="20"/>
          <w:szCs w:val="20"/>
        </w:rPr>
        <w:t xml:space="preserve">Předpokládaný termín </w:t>
      </w:r>
      <w:r w:rsidR="00E96509" w:rsidRPr="00E23AB3">
        <w:rPr>
          <w:rFonts w:ascii="Arial" w:eastAsia="Calibri" w:hAnsi="Arial" w:cs="Arial"/>
          <w:sz w:val="20"/>
          <w:szCs w:val="20"/>
        </w:rPr>
        <w:t xml:space="preserve">předložení plánů </w:t>
      </w:r>
      <w:r w:rsidR="00E96509">
        <w:rPr>
          <w:rFonts w:ascii="Arial" w:eastAsia="Calibri" w:hAnsi="Arial" w:cs="Arial"/>
          <w:sz w:val="20"/>
          <w:szCs w:val="20"/>
        </w:rPr>
        <w:t xml:space="preserve">povodí </w:t>
      </w:r>
      <w:r w:rsidR="00E96509" w:rsidRPr="00E23AB3">
        <w:rPr>
          <w:rFonts w:ascii="Arial" w:eastAsia="Calibri" w:hAnsi="Arial" w:cs="Arial"/>
          <w:sz w:val="20"/>
          <w:szCs w:val="20"/>
        </w:rPr>
        <w:t>k projednání vládě</w:t>
      </w:r>
      <w:r w:rsidR="00E96509">
        <w:rPr>
          <w:rFonts w:ascii="Arial" w:eastAsia="Calibri" w:hAnsi="Arial" w:cs="Arial"/>
          <w:sz w:val="20"/>
          <w:szCs w:val="20"/>
        </w:rPr>
        <w:t xml:space="preserve"> je v </w:t>
      </w:r>
      <w:r w:rsidR="00AE5C88">
        <w:rPr>
          <w:rFonts w:ascii="Arial" w:eastAsia="Calibri" w:hAnsi="Arial" w:cs="Arial"/>
          <w:sz w:val="20"/>
          <w:szCs w:val="20"/>
        </w:rPr>
        <w:t>prosinci</w:t>
      </w:r>
      <w:r w:rsidR="00E96509">
        <w:rPr>
          <w:rFonts w:ascii="Arial" w:eastAsia="Calibri" w:hAnsi="Arial" w:cs="Arial"/>
          <w:sz w:val="20"/>
          <w:szCs w:val="20"/>
        </w:rPr>
        <w:t xml:space="preserve"> 2015.</w:t>
      </w:r>
    </w:p>
    <w:p w:rsidR="00F66A93" w:rsidRPr="00F66A93" w:rsidRDefault="00F66A93" w:rsidP="00F66A93">
      <w:pPr>
        <w:numPr>
          <w:ilvl w:val="0"/>
          <w:numId w:val="20"/>
        </w:numPr>
        <w:spacing w:before="0"/>
        <w:ind w:left="284" w:hanging="284"/>
        <w:rPr>
          <w:rFonts w:ascii="Arial" w:eastAsia="Times New Roman" w:hAnsi="Arial" w:cs="Arial"/>
          <w:sz w:val="20"/>
          <w:szCs w:val="20"/>
        </w:rPr>
      </w:pPr>
      <w:r w:rsidRPr="00F66A93">
        <w:rPr>
          <w:rFonts w:ascii="Arial" w:eastAsia="Times New Roman" w:hAnsi="Arial" w:cs="Arial"/>
          <w:sz w:val="20"/>
          <w:szCs w:val="20"/>
        </w:rPr>
        <w:t>Problematika plnění PP 6.1 byla zařazena do programu jednání zemí V4 PRES, kde budou diskutovány hlavní zkušenosti a problémy s plněním této PP napříč jednotlivými státy V4.</w:t>
      </w:r>
    </w:p>
    <w:p w:rsidR="00F66A93" w:rsidRPr="00F66A93" w:rsidRDefault="00F66A93" w:rsidP="00F66A93">
      <w:pPr>
        <w:spacing w:before="0"/>
        <w:ind w:left="142"/>
        <w:rPr>
          <w:rFonts w:ascii="Arial" w:eastAsia="Times New Roman" w:hAnsi="Arial" w:cs="Arial"/>
          <w:sz w:val="20"/>
          <w:szCs w:val="20"/>
        </w:rPr>
      </w:pPr>
    </w:p>
    <w:p w:rsidR="00F66A93" w:rsidRPr="00F66A93" w:rsidRDefault="00F66A93" w:rsidP="00F66A93">
      <w:pPr>
        <w:tabs>
          <w:tab w:val="left" w:pos="142"/>
        </w:tabs>
        <w:spacing w:before="0"/>
        <w:rPr>
          <w:rFonts w:ascii="Arial" w:eastAsia="Times New Roman" w:hAnsi="Arial" w:cs="Arial"/>
          <w:b/>
          <w:sz w:val="20"/>
          <w:szCs w:val="20"/>
        </w:rPr>
      </w:pPr>
      <w:r w:rsidRPr="00F66A93">
        <w:rPr>
          <w:rFonts w:ascii="Arial" w:eastAsia="Times New Roman" w:hAnsi="Arial" w:cs="Arial"/>
          <w:b/>
          <w:sz w:val="20"/>
          <w:szCs w:val="20"/>
          <w:u w:val="single"/>
        </w:rPr>
        <w:t>T 6.2 Odpadové hospodářství</w:t>
      </w:r>
      <w:r w:rsidRPr="00F66A93">
        <w:rPr>
          <w:rFonts w:ascii="Arial" w:eastAsia="Times New Roman" w:hAnsi="Arial" w:cs="Arial"/>
          <w:b/>
          <w:sz w:val="20"/>
          <w:szCs w:val="20"/>
        </w:rPr>
        <w:t xml:space="preserve"> </w:t>
      </w:r>
    </w:p>
    <w:p w:rsidR="00F66A93" w:rsidRPr="00F66A93" w:rsidRDefault="00F66A93" w:rsidP="00F66A93">
      <w:pPr>
        <w:tabs>
          <w:tab w:val="left" w:pos="142"/>
        </w:tabs>
        <w:spacing w:before="0"/>
        <w:rPr>
          <w:rFonts w:ascii="Arial" w:eastAsia="Times New Roman" w:hAnsi="Arial" w:cs="Arial"/>
          <w:sz w:val="20"/>
          <w:szCs w:val="20"/>
        </w:rPr>
      </w:pPr>
      <w:r w:rsidRPr="00F66A93">
        <w:rPr>
          <w:rFonts w:ascii="Arial" w:eastAsia="Times New Roman" w:hAnsi="Arial" w:cs="Arial"/>
          <w:sz w:val="20"/>
          <w:szCs w:val="20"/>
        </w:rPr>
        <w:t>(gestor: ministerstvo životního prostředí)</w:t>
      </w:r>
    </w:p>
    <w:p w:rsidR="00261C4D" w:rsidRPr="00261C4D" w:rsidRDefault="00261C4D" w:rsidP="00261C4D">
      <w:pPr>
        <w:numPr>
          <w:ilvl w:val="0"/>
          <w:numId w:val="10"/>
        </w:numPr>
        <w:tabs>
          <w:tab w:val="left" w:pos="284"/>
        </w:tabs>
        <w:spacing w:before="0"/>
        <w:ind w:left="284" w:hanging="284"/>
        <w:rPr>
          <w:rFonts w:ascii="Arial" w:eastAsia="Times New Roman" w:hAnsi="Arial" w:cs="Arial"/>
          <w:sz w:val="20"/>
          <w:szCs w:val="20"/>
        </w:rPr>
      </w:pPr>
      <w:r w:rsidRPr="00261C4D">
        <w:rPr>
          <w:rFonts w:ascii="Arial" w:eastAsia="Times New Roman" w:hAnsi="Arial" w:cs="Arial"/>
          <w:sz w:val="20"/>
          <w:szCs w:val="20"/>
        </w:rPr>
        <w:t>V rámci akčního plánu k PP je jasně uvedený závazek k vyřešení rozdílů ve statistikách komunálního odpadu.</w:t>
      </w:r>
    </w:p>
    <w:p w:rsidR="003A2070" w:rsidRPr="004834FC" w:rsidRDefault="00261C4D" w:rsidP="00261C4D">
      <w:pPr>
        <w:numPr>
          <w:ilvl w:val="0"/>
          <w:numId w:val="10"/>
        </w:numPr>
        <w:tabs>
          <w:tab w:val="left" w:pos="284"/>
        </w:tabs>
        <w:spacing w:before="0"/>
        <w:ind w:left="284" w:hanging="284"/>
        <w:rPr>
          <w:rFonts w:ascii="Arial" w:eastAsia="Times New Roman" w:hAnsi="Arial" w:cs="Arial"/>
          <w:sz w:val="20"/>
          <w:szCs w:val="20"/>
        </w:rPr>
      </w:pPr>
      <w:r w:rsidRPr="004834FC">
        <w:rPr>
          <w:rFonts w:ascii="Arial" w:eastAsia="Times New Roman" w:hAnsi="Arial" w:cs="Arial"/>
          <w:sz w:val="20"/>
          <w:szCs w:val="20"/>
        </w:rPr>
        <w:t xml:space="preserve">Na základě Usnesení vlády č. 634/2012 k Záměru zefektivnění výkonu státní statistické služby </w:t>
      </w:r>
      <w:r w:rsidR="00B80282" w:rsidRPr="004834FC">
        <w:rPr>
          <w:rFonts w:ascii="Arial" w:eastAsia="Times New Roman" w:hAnsi="Arial" w:cs="Arial"/>
          <w:sz w:val="20"/>
          <w:szCs w:val="20"/>
        </w:rPr>
        <w:t>vložilo</w:t>
      </w:r>
      <w:r w:rsidRPr="004834FC">
        <w:rPr>
          <w:rFonts w:ascii="Arial" w:eastAsia="Times New Roman" w:hAnsi="Arial" w:cs="Arial"/>
          <w:sz w:val="20"/>
          <w:szCs w:val="20"/>
        </w:rPr>
        <w:t xml:space="preserve"> MŽP v říjnu 2015</w:t>
      </w:r>
      <w:r w:rsidR="00B80282" w:rsidRPr="004834FC">
        <w:rPr>
          <w:rFonts w:ascii="Arial" w:eastAsia="Times New Roman" w:hAnsi="Arial" w:cs="Arial"/>
          <w:sz w:val="20"/>
          <w:szCs w:val="20"/>
        </w:rPr>
        <w:t xml:space="preserve"> do systému e-klep</w:t>
      </w:r>
      <w:r w:rsidRPr="004834FC">
        <w:rPr>
          <w:rFonts w:ascii="Arial" w:eastAsia="Times New Roman" w:hAnsi="Arial" w:cs="Arial"/>
          <w:sz w:val="20"/>
          <w:szCs w:val="20"/>
        </w:rPr>
        <w:t xml:space="preserve"> materiál o porovnání metodik MŽP a ČSÚ k vykazování produkce odpadů</w:t>
      </w:r>
      <w:r w:rsidR="00B80282" w:rsidRPr="004834FC">
        <w:rPr>
          <w:rFonts w:ascii="Arial" w:eastAsia="Times New Roman" w:hAnsi="Arial" w:cs="Arial"/>
          <w:sz w:val="20"/>
          <w:szCs w:val="20"/>
        </w:rPr>
        <w:t xml:space="preserve"> a</w:t>
      </w:r>
      <w:r w:rsidR="003A2070" w:rsidRPr="004834FC">
        <w:rPr>
          <w:rFonts w:ascii="Arial" w:eastAsia="Times New Roman" w:hAnsi="Arial" w:cs="Arial"/>
          <w:sz w:val="20"/>
          <w:szCs w:val="20"/>
        </w:rPr>
        <w:t xml:space="preserve"> </w:t>
      </w:r>
      <w:r w:rsidR="00B80282" w:rsidRPr="004834FC">
        <w:rPr>
          <w:rFonts w:ascii="Arial" w:eastAsia="Times New Roman" w:hAnsi="Arial" w:cs="Arial"/>
          <w:sz w:val="20"/>
          <w:szCs w:val="20"/>
        </w:rPr>
        <w:t>je očekáváno jeho projednání Vládou ČR</w:t>
      </w:r>
      <w:r w:rsidR="00DB4FDB" w:rsidRPr="004834FC">
        <w:rPr>
          <w:rFonts w:ascii="Arial" w:eastAsia="Times New Roman" w:hAnsi="Arial" w:cs="Arial"/>
          <w:sz w:val="20"/>
          <w:szCs w:val="20"/>
        </w:rPr>
        <w:t xml:space="preserve"> (materiál byl</w:t>
      </w:r>
      <w:r w:rsidR="008746C4">
        <w:rPr>
          <w:rFonts w:ascii="Arial" w:eastAsia="Times New Roman" w:hAnsi="Arial" w:cs="Arial"/>
          <w:sz w:val="20"/>
          <w:szCs w:val="20"/>
        </w:rPr>
        <w:t xml:space="preserve"> stažen z jednání vlády dne 2. listopadu </w:t>
      </w:r>
      <w:r w:rsidR="00DB4FDB" w:rsidRPr="004834FC">
        <w:rPr>
          <w:rFonts w:ascii="Arial" w:eastAsia="Times New Roman" w:hAnsi="Arial" w:cs="Arial"/>
          <w:sz w:val="20"/>
          <w:szCs w:val="20"/>
        </w:rPr>
        <w:t>2015)</w:t>
      </w:r>
      <w:r w:rsidRPr="004834FC">
        <w:rPr>
          <w:rFonts w:ascii="Arial" w:eastAsia="Times New Roman" w:hAnsi="Arial" w:cs="Arial"/>
          <w:sz w:val="20"/>
          <w:szCs w:val="20"/>
        </w:rPr>
        <w:t xml:space="preserve">. </w:t>
      </w:r>
    </w:p>
    <w:p w:rsidR="00261C4D" w:rsidRPr="00261C4D" w:rsidRDefault="00261C4D" w:rsidP="00261C4D">
      <w:pPr>
        <w:numPr>
          <w:ilvl w:val="0"/>
          <w:numId w:val="10"/>
        </w:numPr>
        <w:tabs>
          <w:tab w:val="left" w:pos="284"/>
        </w:tabs>
        <w:spacing w:before="0"/>
        <w:ind w:left="284" w:hanging="284"/>
        <w:rPr>
          <w:rFonts w:ascii="Arial" w:eastAsia="Times New Roman" w:hAnsi="Arial" w:cs="Arial"/>
          <w:sz w:val="20"/>
          <w:szCs w:val="20"/>
        </w:rPr>
      </w:pPr>
      <w:r w:rsidRPr="00261C4D">
        <w:rPr>
          <w:rFonts w:ascii="Arial" w:eastAsia="Times New Roman" w:hAnsi="Arial" w:cs="Arial"/>
          <w:sz w:val="20"/>
          <w:szCs w:val="20"/>
        </w:rPr>
        <w:t>Byly identifikovány výrazné rozdíly v metodických přístupech MŽP a ČSÚ, řada rozdílů je založena již na úrovni evropské legislativy. Záměrem MŽP je prostřednictvím připravovaného nového zákona o odpadech (ve spolupráci s ČSÚ) odstranit duplicitní ohlašování dat Evropské komisi za oblast odpadů. Věcný zám</w:t>
      </w:r>
      <w:r>
        <w:rPr>
          <w:rFonts w:ascii="Arial" w:eastAsia="Times New Roman" w:hAnsi="Arial" w:cs="Arial"/>
          <w:sz w:val="20"/>
          <w:szCs w:val="20"/>
        </w:rPr>
        <w:t xml:space="preserve">ěr zákona byl schválen dne 18. května </w:t>
      </w:r>
      <w:r w:rsidRPr="00261C4D">
        <w:rPr>
          <w:rFonts w:ascii="Arial" w:eastAsia="Times New Roman" w:hAnsi="Arial" w:cs="Arial"/>
          <w:sz w:val="20"/>
          <w:szCs w:val="20"/>
        </w:rPr>
        <w:t>2015</w:t>
      </w:r>
      <w:r w:rsidR="003A2070">
        <w:rPr>
          <w:rFonts w:ascii="Arial" w:eastAsia="Times New Roman" w:hAnsi="Arial" w:cs="Arial"/>
          <w:sz w:val="20"/>
          <w:szCs w:val="20"/>
        </w:rPr>
        <w:t xml:space="preserve">, v současné době se pracuje </w:t>
      </w:r>
      <w:r w:rsidR="003A2070">
        <w:rPr>
          <w:rFonts w:ascii="Arial" w:eastAsia="Times New Roman" w:hAnsi="Arial" w:cs="Arial"/>
          <w:sz w:val="20"/>
          <w:szCs w:val="20"/>
        </w:rPr>
        <w:lastRenderedPageBreak/>
        <w:t>na </w:t>
      </w:r>
      <w:r w:rsidRPr="00261C4D">
        <w:rPr>
          <w:rFonts w:ascii="Arial" w:eastAsia="Times New Roman" w:hAnsi="Arial" w:cs="Arial"/>
          <w:sz w:val="20"/>
          <w:szCs w:val="20"/>
        </w:rPr>
        <w:t>jeho paragrafovém znění. Zákon musí být schválen nejpozději k 31. prosinci 2016 dle závazku, učiněným Českou republikou v rámci akčního plánu.</w:t>
      </w:r>
    </w:p>
    <w:p w:rsidR="00261C4D" w:rsidRPr="00261C4D" w:rsidRDefault="00261C4D" w:rsidP="00261C4D">
      <w:pPr>
        <w:numPr>
          <w:ilvl w:val="0"/>
          <w:numId w:val="9"/>
        </w:numPr>
        <w:tabs>
          <w:tab w:val="left" w:pos="284"/>
        </w:tabs>
        <w:spacing w:before="0"/>
        <w:ind w:left="284" w:hanging="284"/>
        <w:rPr>
          <w:rFonts w:ascii="Arial" w:eastAsia="Times New Roman" w:hAnsi="Arial" w:cs="Arial"/>
          <w:sz w:val="20"/>
          <w:szCs w:val="20"/>
        </w:rPr>
      </w:pPr>
      <w:r>
        <w:rPr>
          <w:rFonts w:ascii="Arial" w:eastAsia="Times New Roman" w:hAnsi="Arial" w:cs="Arial"/>
          <w:sz w:val="20"/>
          <w:szCs w:val="20"/>
        </w:rPr>
        <w:t>Dne 15.</w:t>
      </w:r>
      <w:r w:rsidR="003A2070">
        <w:rPr>
          <w:rFonts w:ascii="Arial" w:eastAsia="Times New Roman" w:hAnsi="Arial" w:cs="Arial"/>
          <w:sz w:val="20"/>
          <w:szCs w:val="20"/>
        </w:rPr>
        <w:t xml:space="preserve"> </w:t>
      </w:r>
      <w:r w:rsidR="00FD3554">
        <w:rPr>
          <w:rFonts w:ascii="Arial" w:eastAsia="Times New Roman" w:hAnsi="Arial" w:cs="Arial"/>
          <w:sz w:val="20"/>
          <w:szCs w:val="20"/>
        </w:rPr>
        <w:t>ří</w:t>
      </w:r>
      <w:r>
        <w:rPr>
          <w:rFonts w:ascii="Arial" w:eastAsia="Times New Roman" w:hAnsi="Arial" w:cs="Arial"/>
          <w:sz w:val="20"/>
          <w:szCs w:val="20"/>
        </w:rPr>
        <w:t xml:space="preserve">jna </w:t>
      </w:r>
      <w:r w:rsidRPr="00261C4D">
        <w:rPr>
          <w:rFonts w:ascii="Arial" w:eastAsia="Times New Roman" w:hAnsi="Arial" w:cs="Arial"/>
          <w:sz w:val="20"/>
          <w:szCs w:val="20"/>
        </w:rPr>
        <w:t>2015 byla MŽP prostřednictvím MZV odeslána Evropské komisi – Generálnímu ředitelství Životní prostředí informace o nutnosti sjednocení přístupu na úrovni evropských právních předpisů pro oblast odpadového hospodářství. Informace k řešení problematiky dvojích dat</w:t>
      </w:r>
      <w:r w:rsidRPr="00261C4D">
        <w:rPr>
          <w:rFonts w:ascii="Arial" w:eastAsia="Times New Roman" w:hAnsi="Arial" w:cs="Arial"/>
          <w:sz w:val="20"/>
          <w:szCs w:val="20"/>
        </w:rPr>
        <w:br/>
        <w:t>o odpadech požadovala EK na základě výsledků jednání (</w:t>
      </w:r>
      <w:r w:rsidRPr="00261C4D">
        <w:rPr>
          <w:rFonts w:ascii="Arial" w:hAnsi="Arial" w:cs="Arial"/>
          <w:sz w:val="20"/>
          <w:szCs w:val="20"/>
        </w:rPr>
        <w:t xml:space="preserve">viz. závěry </w:t>
      </w:r>
      <w:proofErr w:type="spellStart"/>
      <w:r w:rsidRPr="00261C4D">
        <w:rPr>
          <w:rFonts w:ascii="Arial" w:hAnsi="Arial" w:cs="Arial"/>
          <w:sz w:val="20"/>
          <w:szCs w:val="20"/>
        </w:rPr>
        <w:t>Package</w:t>
      </w:r>
      <w:proofErr w:type="spellEnd"/>
      <w:r w:rsidRPr="00261C4D">
        <w:rPr>
          <w:rFonts w:ascii="Arial" w:hAnsi="Arial" w:cs="Arial"/>
          <w:sz w:val="20"/>
          <w:szCs w:val="20"/>
        </w:rPr>
        <w:t xml:space="preserve"> meeti</w:t>
      </w:r>
      <w:r>
        <w:rPr>
          <w:rFonts w:ascii="Arial" w:hAnsi="Arial" w:cs="Arial"/>
          <w:sz w:val="20"/>
          <w:szCs w:val="20"/>
        </w:rPr>
        <w:t xml:space="preserve">ng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Czech</w:t>
      </w:r>
      <w:proofErr w:type="spellEnd"/>
      <w:r>
        <w:rPr>
          <w:rFonts w:ascii="Arial" w:hAnsi="Arial" w:cs="Arial"/>
          <w:sz w:val="20"/>
          <w:szCs w:val="20"/>
        </w:rPr>
        <w:t xml:space="preserve"> </w:t>
      </w:r>
      <w:proofErr w:type="spellStart"/>
      <w:r>
        <w:rPr>
          <w:rFonts w:ascii="Arial" w:hAnsi="Arial" w:cs="Arial"/>
          <w:sz w:val="20"/>
          <w:szCs w:val="20"/>
        </w:rPr>
        <w:t>authorities</w:t>
      </w:r>
      <w:proofErr w:type="spellEnd"/>
      <w:r>
        <w:rPr>
          <w:rFonts w:ascii="Arial" w:hAnsi="Arial" w:cs="Arial"/>
          <w:sz w:val="20"/>
          <w:szCs w:val="20"/>
        </w:rPr>
        <w:t>, 29.</w:t>
      </w:r>
      <w:r w:rsidR="0005612C">
        <w:rPr>
          <w:rFonts w:ascii="Arial" w:hAnsi="Arial" w:cs="Arial"/>
          <w:sz w:val="20"/>
          <w:szCs w:val="20"/>
        </w:rPr>
        <w:t xml:space="preserve"> </w:t>
      </w:r>
      <w:r>
        <w:rPr>
          <w:rFonts w:ascii="Arial" w:hAnsi="Arial" w:cs="Arial"/>
          <w:sz w:val="20"/>
          <w:szCs w:val="20"/>
        </w:rPr>
        <w:t xml:space="preserve">května </w:t>
      </w:r>
      <w:r w:rsidRPr="00261C4D">
        <w:rPr>
          <w:rFonts w:ascii="Arial" w:hAnsi="Arial" w:cs="Arial"/>
          <w:sz w:val="20"/>
          <w:szCs w:val="20"/>
        </w:rPr>
        <w:t>2015).</w:t>
      </w:r>
      <w:r w:rsidRPr="00261C4D">
        <w:rPr>
          <w:rFonts w:ascii="Arial" w:eastAsia="Times New Roman" w:hAnsi="Arial" w:cs="Arial"/>
          <w:sz w:val="20"/>
          <w:szCs w:val="20"/>
        </w:rPr>
        <w:t xml:space="preserve"> Domníváme se, že poskytnuté informace nebudou dostatečným vodítkem pro rozhodnutí EK, zda </w:t>
      </w:r>
      <w:r w:rsidRPr="00261C4D">
        <w:rPr>
          <w:rFonts w:ascii="Arial" w:hAnsi="Arial" w:cs="Arial"/>
          <w:sz w:val="20"/>
          <w:szCs w:val="20"/>
        </w:rPr>
        <w:t xml:space="preserve">financování energetického využití odpadů prostřednictvím OPŽP neohrozí ČR v plnění cílů v oblasti recyklace odpadů dle Směrnice 2008/98/ES. </w:t>
      </w:r>
      <w:r w:rsidR="003A2070">
        <w:rPr>
          <w:rFonts w:ascii="Arial" w:hAnsi="Arial" w:cs="Arial"/>
          <w:sz w:val="20"/>
          <w:szCs w:val="20"/>
          <w:lang w:eastAsia="en-US"/>
        </w:rPr>
        <w:t>Vzhledem k </w:t>
      </w:r>
      <w:r w:rsidR="0005612C" w:rsidRPr="00F42AF9">
        <w:rPr>
          <w:rFonts w:ascii="Arial" w:hAnsi="Arial" w:cs="Arial"/>
          <w:sz w:val="20"/>
          <w:szCs w:val="20"/>
          <w:lang w:eastAsia="en-US"/>
        </w:rPr>
        <w:t xml:space="preserve">významným odlišnostem v datech </w:t>
      </w:r>
      <w:proofErr w:type="spellStart"/>
      <w:r w:rsidR="0005612C" w:rsidRPr="00F42AF9">
        <w:rPr>
          <w:rFonts w:ascii="Arial" w:hAnsi="Arial" w:cs="Arial"/>
          <w:sz w:val="20"/>
          <w:szCs w:val="20"/>
          <w:lang w:eastAsia="en-US"/>
        </w:rPr>
        <w:t>Eurostat</w:t>
      </w:r>
      <w:proofErr w:type="spellEnd"/>
      <w:r w:rsidR="0005612C" w:rsidRPr="00F42AF9">
        <w:rPr>
          <w:rFonts w:ascii="Arial" w:hAnsi="Arial" w:cs="Arial"/>
          <w:sz w:val="20"/>
          <w:szCs w:val="20"/>
          <w:lang w:eastAsia="en-US"/>
        </w:rPr>
        <w:t xml:space="preserve"> (ČSÚ) a MŽP si Evropská komise vyhradila právo posouzení souladu plánů odpadového hospodářství (POH ČR a </w:t>
      </w:r>
      <w:r w:rsidR="003A2070">
        <w:rPr>
          <w:rFonts w:ascii="Arial" w:hAnsi="Arial" w:cs="Arial"/>
          <w:sz w:val="20"/>
          <w:szCs w:val="20"/>
          <w:lang w:eastAsia="en-US"/>
        </w:rPr>
        <w:t>14 krajských POH) se Směrnicí o </w:t>
      </w:r>
      <w:r w:rsidR="0005612C" w:rsidRPr="00F42AF9">
        <w:rPr>
          <w:rFonts w:ascii="Arial" w:hAnsi="Arial" w:cs="Arial"/>
          <w:sz w:val="20"/>
          <w:szCs w:val="20"/>
          <w:lang w:eastAsia="en-US"/>
        </w:rPr>
        <w:t xml:space="preserve">odpadech 2008/98/ES. </w:t>
      </w:r>
      <w:r w:rsidR="0005612C">
        <w:rPr>
          <w:rFonts w:ascii="Arial" w:hAnsi="Arial" w:cs="Arial"/>
          <w:sz w:val="20"/>
          <w:szCs w:val="20"/>
          <w:lang w:eastAsia="en-US"/>
        </w:rPr>
        <w:t xml:space="preserve">Nicméně výše uvedený </w:t>
      </w:r>
      <w:r w:rsidR="0005612C" w:rsidRPr="00F42AF9">
        <w:rPr>
          <w:rFonts w:ascii="Arial" w:hAnsi="Arial" w:cs="Arial"/>
          <w:sz w:val="20"/>
          <w:szCs w:val="20"/>
          <w:lang w:eastAsia="en-US"/>
        </w:rPr>
        <w:t xml:space="preserve">materiál, který MŽP zaslalo na EK, je pojat způsobem, že MŽP označuje data evropského systému EUROSTAT za chybná a řešení problému vidí na straně Komise. </w:t>
      </w:r>
    </w:p>
    <w:p w:rsidR="00261C4D" w:rsidRPr="00261C4D" w:rsidRDefault="00261C4D" w:rsidP="00261C4D">
      <w:pPr>
        <w:numPr>
          <w:ilvl w:val="0"/>
          <w:numId w:val="9"/>
        </w:numPr>
        <w:tabs>
          <w:tab w:val="left" w:pos="284"/>
        </w:tabs>
        <w:spacing w:before="0"/>
        <w:ind w:left="284" w:hanging="284"/>
        <w:rPr>
          <w:rFonts w:ascii="Arial" w:eastAsia="Times New Roman" w:hAnsi="Arial" w:cs="Arial"/>
          <w:sz w:val="20"/>
          <w:szCs w:val="20"/>
        </w:rPr>
      </w:pPr>
      <w:r w:rsidRPr="00261C4D">
        <w:rPr>
          <w:rFonts w:ascii="Arial" w:eastAsia="Times New Roman" w:hAnsi="Arial" w:cs="Arial"/>
          <w:sz w:val="20"/>
          <w:szCs w:val="20"/>
        </w:rPr>
        <w:t>U KPOH probíhá proces SEA, závěry zjišťovacího řízení byly již vydány u všech KPOH. V průběhu listopadu/prosince</w:t>
      </w:r>
      <w:r w:rsidR="003A2070">
        <w:rPr>
          <w:rFonts w:ascii="Arial" w:eastAsia="Times New Roman" w:hAnsi="Arial" w:cs="Arial"/>
          <w:sz w:val="20"/>
          <w:szCs w:val="20"/>
        </w:rPr>
        <w:t xml:space="preserve"> 2015</w:t>
      </w:r>
      <w:r w:rsidRPr="00261C4D">
        <w:rPr>
          <w:rFonts w:ascii="Arial" w:eastAsia="Times New Roman" w:hAnsi="Arial" w:cs="Arial"/>
          <w:sz w:val="20"/>
          <w:szCs w:val="20"/>
        </w:rPr>
        <w:t xml:space="preserve"> kraje očekávají kompletaci a předání díla od zpracovatelů KPOH. Po vydání KPOH v roce 2016 budou postupně zasílány EK k  posouzení. Z výše uvedené</w:t>
      </w:r>
      <w:r w:rsidR="003A2070">
        <w:rPr>
          <w:rFonts w:ascii="Arial" w:eastAsia="Times New Roman" w:hAnsi="Arial" w:cs="Arial"/>
          <w:sz w:val="20"/>
          <w:szCs w:val="20"/>
        </w:rPr>
        <w:t xml:space="preserve">ho důvodu považujeme skutečnost, </w:t>
      </w:r>
      <w:r w:rsidRPr="00261C4D">
        <w:rPr>
          <w:rFonts w:ascii="Arial" w:eastAsia="Times New Roman" w:hAnsi="Arial" w:cs="Arial"/>
          <w:sz w:val="20"/>
          <w:szCs w:val="20"/>
        </w:rPr>
        <w:t>že EK bude vyhodnocovat a posuzovat všech 14 krajských Plánů odpadového hospodářství (KPOH), které jsou rovněž předmětem naplňování předběžné podmínky i nadále za rizikovou.</w:t>
      </w:r>
    </w:p>
    <w:p w:rsidR="00C17092" w:rsidRDefault="00C17092" w:rsidP="003A2070">
      <w:pPr>
        <w:tabs>
          <w:tab w:val="left" w:pos="284"/>
        </w:tabs>
        <w:spacing w:before="0"/>
        <w:ind w:left="284"/>
        <w:rPr>
          <w:rFonts w:ascii="Arial" w:eastAsia="Times New Roman" w:hAnsi="Arial" w:cs="Arial"/>
          <w:sz w:val="20"/>
          <w:szCs w:val="20"/>
        </w:rPr>
      </w:pPr>
    </w:p>
    <w:p w:rsidR="00F66A93" w:rsidRPr="00F66A93" w:rsidRDefault="00F66A93" w:rsidP="00F66A93">
      <w:pPr>
        <w:tabs>
          <w:tab w:val="left" w:pos="284"/>
        </w:tabs>
        <w:spacing w:before="0"/>
        <w:rPr>
          <w:rFonts w:ascii="Arial" w:eastAsia="Times New Roman" w:hAnsi="Arial" w:cs="Arial"/>
          <w:b/>
          <w:sz w:val="20"/>
          <w:szCs w:val="20"/>
          <w:u w:val="single"/>
        </w:rPr>
      </w:pPr>
      <w:r w:rsidRPr="00F66A93">
        <w:rPr>
          <w:rFonts w:ascii="Arial" w:eastAsia="Times New Roman" w:hAnsi="Arial" w:cs="Arial"/>
          <w:b/>
          <w:sz w:val="20"/>
          <w:szCs w:val="20"/>
          <w:u w:val="single"/>
        </w:rPr>
        <w:t>T 7.1 – 7.3 Silniční doprava, Železniční doprava, Ostatní doprava</w:t>
      </w:r>
    </w:p>
    <w:p w:rsidR="00F66A93" w:rsidRPr="00F66A93" w:rsidRDefault="00F66A93" w:rsidP="00F66A93">
      <w:pPr>
        <w:tabs>
          <w:tab w:val="left" w:pos="284"/>
        </w:tabs>
        <w:spacing w:before="0"/>
        <w:rPr>
          <w:rFonts w:ascii="Arial" w:eastAsia="Times New Roman" w:hAnsi="Arial" w:cs="Arial"/>
          <w:sz w:val="20"/>
          <w:szCs w:val="20"/>
        </w:rPr>
      </w:pPr>
      <w:r w:rsidRPr="00F66A93">
        <w:rPr>
          <w:rFonts w:ascii="Arial" w:eastAsia="Times New Roman" w:hAnsi="Arial" w:cs="Arial"/>
          <w:sz w:val="20"/>
          <w:szCs w:val="20"/>
        </w:rPr>
        <w:t>(gestor: ministerstvo dopravy)</w:t>
      </w:r>
    </w:p>
    <w:p w:rsidR="00F66A93" w:rsidRPr="00F66A93" w:rsidRDefault="00F66A93" w:rsidP="00F66A93">
      <w:pPr>
        <w:numPr>
          <w:ilvl w:val="0"/>
          <w:numId w:val="22"/>
        </w:numPr>
        <w:tabs>
          <w:tab w:val="left" w:pos="284"/>
        </w:tabs>
        <w:spacing w:before="0"/>
        <w:ind w:left="284" w:hanging="284"/>
        <w:rPr>
          <w:rFonts w:ascii="Arial" w:eastAsia="Times New Roman" w:hAnsi="Arial" w:cs="Arial"/>
          <w:sz w:val="20"/>
          <w:szCs w:val="20"/>
        </w:rPr>
      </w:pPr>
      <w:r w:rsidRPr="00F66A93">
        <w:rPr>
          <w:rFonts w:ascii="Arial" w:eastAsia="Times New Roman" w:hAnsi="Arial" w:cs="Arial"/>
          <w:sz w:val="20"/>
          <w:szCs w:val="20"/>
        </w:rPr>
        <w:t xml:space="preserve">U všech PP týkajících se dopravy není ze strany EK shledáno za dostačující naplňování kritéria „Opatření k zajištění způsobilosti zprostředkujících subjektů a příjemců realizovat projekt“. Ministerstvo dopravy jakožto odpovědný subjekt provede (do září 2016) opatření k posílení kapacity hlavních příjemců a zprostředkujícího subjektu a předloží Zprávu o realizovaných opatřeních zahrnující doporučení a výhled řešení případných zbývajících úzkých míst. </w:t>
      </w:r>
    </w:p>
    <w:p w:rsidR="00F66A93" w:rsidRPr="00261C4D" w:rsidRDefault="00261C4D" w:rsidP="00261C4D">
      <w:pPr>
        <w:numPr>
          <w:ilvl w:val="0"/>
          <w:numId w:val="22"/>
        </w:numPr>
        <w:tabs>
          <w:tab w:val="left" w:pos="284"/>
        </w:tabs>
        <w:spacing w:before="0"/>
        <w:ind w:left="284" w:hanging="284"/>
        <w:rPr>
          <w:rFonts w:ascii="Arial" w:eastAsia="Times New Roman" w:hAnsi="Arial" w:cs="Arial"/>
          <w:sz w:val="20"/>
          <w:szCs w:val="20"/>
        </w:rPr>
      </w:pPr>
      <w:r w:rsidRPr="00F66A93">
        <w:rPr>
          <w:rFonts w:ascii="Arial" w:eastAsia="Times New Roman" w:hAnsi="Arial" w:cs="Arial"/>
          <w:sz w:val="20"/>
          <w:szCs w:val="20"/>
        </w:rPr>
        <w:t>Výše zmíněná Zpráva již byla zaslána na MMR a v tuto chvíli k ní probíhá intenzivní komunikace před jejím odesláním na EK a případnou verifikací splnění na národní úrovni.</w:t>
      </w:r>
      <w:r>
        <w:rPr>
          <w:rFonts w:ascii="Arial" w:eastAsia="Times New Roman" w:hAnsi="Arial" w:cs="Arial"/>
          <w:sz w:val="20"/>
          <w:szCs w:val="20"/>
        </w:rPr>
        <w:t xml:space="preserve">  Ze zprávy však vyplývají zásadní rizika spojená se zajištěním dostatečné administrativní kapacity pro implementaci OP Doprava, zejména co se týče posílení na vybraných pozicích</w:t>
      </w:r>
      <w:r w:rsidRPr="00DA75C1">
        <w:rPr>
          <w:rFonts w:ascii="Arial" w:eastAsia="Times New Roman" w:hAnsi="Arial" w:cs="Arial"/>
          <w:sz w:val="20"/>
          <w:szCs w:val="20"/>
        </w:rPr>
        <w:t xml:space="preserve"> </w:t>
      </w:r>
      <w:r>
        <w:rPr>
          <w:rFonts w:ascii="Arial" w:eastAsia="Times New Roman" w:hAnsi="Arial" w:cs="Arial"/>
          <w:sz w:val="20"/>
          <w:szCs w:val="20"/>
        </w:rPr>
        <w:t>příjemců a zprostředkujícího subjektu SFDI. Pro tyto účely bude probíhat analýza/posouzení kapacity externím hodnotitelem. Výsledky hodnocení bude nutné považovat za klíčové pro další rozhodování posílení/zefektivnění kapacity příjemců a zprostředkující subjekty OP Doprava.</w:t>
      </w:r>
    </w:p>
    <w:p w:rsidR="00A12A74" w:rsidRDefault="00F66A93" w:rsidP="00F66A93">
      <w:pPr>
        <w:numPr>
          <w:ilvl w:val="0"/>
          <w:numId w:val="22"/>
        </w:numPr>
        <w:tabs>
          <w:tab w:val="left" w:pos="284"/>
        </w:tabs>
        <w:spacing w:before="0"/>
        <w:ind w:left="284" w:hanging="284"/>
        <w:rPr>
          <w:rFonts w:ascii="Arial" w:eastAsia="Times New Roman" w:hAnsi="Arial" w:cs="Arial"/>
          <w:sz w:val="20"/>
          <w:szCs w:val="20"/>
        </w:rPr>
      </w:pPr>
      <w:r w:rsidRPr="00F66A93">
        <w:rPr>
          <w:rFonts w:ascii="Arial" w:eastAsia="Times New Roman" w:hAnsi="Arial" w:cs="Arial"/>
          <w:sz w:val="20"/>
          <w:szCs w:val="20"/>
        </w:rPr>
        <w:t xml:space="preserve">U PP 7.2 EK trvala na doplnění opatření ve smyslu předložení Koncepce veřejné dopravy (smyslem je doplnit Dopravní sektorovou strategii II o lepší vymezení dopravního plánování). </w:t>
      </w:r>
    </w:p>
    <w:p w:rsidR="00F66A93" w:rsidRPr="00F66A93" w:rsidRDefault="00F66A93" w:rsidP="00A12A74">
      <w:pPr>
        <w:tabs>
          <w:tab w:val="left" w:pos="284"/>
        </w:tabs>
        <w:spacing w:before="0"/>
        <w:ind w:left="284"/>
        <w:rPr>
          <w:rFonts w:ascii="Arial" w:eastAsia="Times New Roman" w:hAnsi="Arial" w:cs="Arial"/>
          <w:sz w:val="20"/>
          <w:szCs w:val="20"/>
        </w:rPr>
      </w:pPr>
      <w:r w:rsidRPr="00F66A93">
        <w:rPr>
          <w:rFonts w:ascii="Arial" w:eastAsia="Times New Roman" w:hAnsi="Arial" w:cs="Arial"/>
          <w:sz w:val="20"/>
          <w:szCs w:val="20"/>
        </w:rPr>
        <w:t xml:space="preserve">Dne 15. června 2015 byla přijata vládou ČR usnesením č. 467 Bílá kniha - Koncepce veřejné dopravy 2015-2020 s výhledem do roku 2030. Tímto došlo ke splnění kritéria předběžné podmínky a lze ji ze strany ČR považovat za částečně splněnou. </w:t>
      </w:r>
      <w:r w:rsidR="00904573">
        <w:rPr>
          <w:rFonts w:ascii="Arial" w:eastAsia="Times New Roman" w:hAnsi="Arial" w:cs="Arial"/>
          <w:sz w:val="20"/>
          <w:szCs w:val="20"/>
        </w:rPr>
        <w:t>Koncepce veřejné dopravy byla odeslána na</w:t>
      </w:r>
      <w:r w:rsidR="008746C4">
        <w:rPr>
          <w:rFonts w:ascii="Arial" w:eastAsia="Times New Roman" w:hAnsi="Arial" w:cs="Arial"/>
          <w:sz w:val="20"/>
          <w:szCs w:val="20"/>
        </w:rPr>
        <w:t> </w:t>
      </w:r>
      <w:r w:rsidR="00904573">
        <w:rPr>
          <w:rFonts w:ascii="Arial" w:eastAsia="Times New Roman" w:hAnsi="Arial" w:cs="Arial"/>
          <w:sz w:val="20"/>
          <w:szCs w:val="20"/>
        </w:rPr>
        <w:t>EK dne v rámci druhé Čtvrtletní zprávy</w:t>
      </w:r>
      <w:r w:rsidR="00A17AC1">
        <w:rPr>
          <w:rFonts w:ascii="Arial" w:eastAsia="Times New Roman" w:hAnsi="Arial" w:cs="Arial"/>
          <w:sz w:val="20"/>
          <w:szCs w:val="20"/>
        </w:rPr>
        <w:t xml:space="preserve"> o stavu plnění předběžných podmínek (květen-srpen) dne 27. října 2015. </w:t>
      </w:r>
      <w:r w:rsidR="0010737A">
        <w:rPr>
          <w:rFonts w:ascii="Arial" w:eastAsia="Times New Roman" w:hAnsi="Arial" w:cs="Arial"/>
          <w:sz w:val="20"/>
          <w:szCs w:val="20"/>
        </w:rPr>
        <w:t xml:space="preserve">V nejbližší době bude dokument </w:t>
      </w:r>
      <w:r w:rsidR="00A17AC1">
        <w:rPr>
          <w:rFonts w:ascii="Arial" w:eastAsia="Times New Roman" w:hAnsi="Arial" w:cs="Arial"/>
          <w:sz w:val="20"/>
          <w:szCs w:val="20"/>
        </w:rPr>
        <w:t xml:space="preserve">předložen EK </w:t>
      </w:r>
      <w:r w:rsidR="0010737A">
        <w:rPr>
          <w:rFonts w:ascii="Arial" w:eastAsia="Times New Roman" w:hAnsi="Arial" w:cs="Arial"/>
          <w:sz w:val="20"/>
          <w:szCs w:val="20"/>
        </w:rPr>
        <w:t>k posouzení.</w:t>
      </w:r>
      <w:r w:rsidR="00A17AC1">
        <w:rPr>
          <w:rFonts w:ascii="Arial" w:eastAsia="Times New Roman" w:hAnsi="Arial" w:cs="Arial"/>
          <w:sz w:val="20"/>
          <w:szCs w:val="20"/>
        </w:rPr>
        <w:t xml:space="preserve"> </w:t>
      </w:r>
    </w:p>
    <w:p w:rsidR="00F66A93" w:rsidRPr="00F66A93" w:rsidRDefault="00F66A93" w:rsidP="00F66A93">
      <w:pPr>
        <w:numPr>
          <w:ilvl w:val="0"/>
          <w:numId w:val="22"/>
        </w:numPr>
        <w:tabs>
          <w:tab w:val="left" w:pos="284"/>
        </w:tabs>
        <w:spacing w:before="0"/>
        <w:ind w:left="284" w:hanging="284"/>
        <w:rPr>
          <w:rFonts w:ascii="Arial" w:eastAsia="Times New Roman" w:hAnsi="Arial" w:cs="Arial"/>
          <w:sz w:val="20"/>
          <w:szCs w:val="20"/>
        </w:rPr>
      </w:pPr>
      <w:r w:rsidRPr="00F66A93">
        <w:rPr>
          <w:rFonts w:ascii="Arial" w:eastAsia="Times New Roman" w:hAnsi="Arial" w:cs="Arial"/>
          <w:sz w:val="20"/>
          <w:szCs w:val="20"/>
        </w:rPr>
        <w:t>U PP 7.3 EK požaduje do naplňování zařadit Koncepci vodní dopravy, která by měla být vládě předložena do konce roku 2015. Aktuálně se připravuje vnitroresortní připomínkové řízení, do MPŘ bude dokument předložen následně.</w:t>
      </w:r>
    </w:p>
    <w:p w:rsidR="00F66A93" w:rsidRPr="00F66A93" w:rsidRDefault="00F66A93" w:rsidP="00F66A93">
      <w:pPr>
        <w:tabs>
          <w:tab w:val="left" w:pos="284"/>
        </w:tabs>
        <w:spacing w:before="0"/>
        <w:rPr>
          <w:rFonts w:ascii="Arial" w:eastAsia="Times New Roman" w:hAnsi="Arial" w:cs="Arial"/>
          <w:sz w:val="20"/>
          <w:szCs w:val="20"/>
        </w:rPr>
      </w:pPr>
    </w:p>
    <w:p w:rsidR="00F66A93" w:rsidRPr="00F66A93" w:rsidRDefault="00F66A93" w:rsidP="00F66A93">
      <w:pPr>
        <w:tabs>
          <w:tab w:val="left" w:pos="284"/>
        </w:tabs>
        <w:spacing w:before="0"/>
        <w:rPr>
          <w:rFonts w:ascii="Arial" w:eastAsia="Times New Roman" w:hAnsi="Arial" w:cs="Arial"/>
          <w:b/>
          <w:sz w:val="20"/>
          <w:szCs w:val="20"/>
          <w:u w:val="single"/>
        </w:rPr>
      </w:pPr>
      <w:r w:rsidRPr="00F66A93">
        <w:rPr>
          <w:rFonts w:ascii="Arial" w:eastAsia="Times New Roman" w:hAnsi="Arial" w:cs="Arial"/>
          <w:b/>
          <w:sz w:val="20"/>
          <w:szCs w:val="20"/>
          <w:u w:val="single"/>
        </w:rPr>
        <w:t xml:space="preserve">T 8.5 Pomoc pracovníkům, podnikům a podnikatelům </w:t>
      </w:r>
    </w:p>
    <w:p w:rsidR="00F66A93" w:rsidRPr="00F66A93" w:rsidRDefault="00F66A93" w:rsidP="00F66A93">
      <w:pPr>
        <w:tabs>
          <w:tab w:val="left" w:pos="284"/>
        </w:tabs>
        <w:spacing w:before="0"/>
        <w:rPr>
          <w:rFonts w:ascii="Arial" w:eastAsia="Times New Roman" w:hAnsi="Arial" w:cs="Arial"/>
          <w:sz w:val="20"/>
          <w:szCs w:val="20"/>
        </w:rPr>
      </w:pPr>
      <w:r w:rsidRPr="00F66A93">
        <w:rPr>
          <w:rFonts w:ascii="Arial" w:eastAsia="Times New Roman" w:hAnsi="Arial" w:cs="Arial"/>
          <w:sz w:val="20"/>
          <w:szCs w:val="20"/>
        </w:rPr>
        <w:t>(gestor: ministerstvo práce a sociálních věcí)</w:t>
      </w:r>
    </w:p>
    <w:p w:rsidR="00C84CC2" w:rsidRDefault="00C84CC2" w:rsidP="00C84CC2">
      <w:pPr>
        <w:pStyle w:val="Odstavecseseznamem"/>
        <w:numPr>
          <w:ilvl w:val="0"/>
          <w:numId w:val="26"/>
        </w:numPr>
        <w:spacing w:before="0" w:after="0"/>
        <w:ind w:left="176" w:hanging="142"/>
        <w:rPr>
          <w:rFonts w:ascii="Arial" w:hAnsi="Arial" w:cs="Arial"/>
          <w:color w:val="000000"/>
          <w:sz w:val="20"/>
        </w:rPr>
      </w:pPr>
      <w:r>
        <w:rPr>
          <w:rFonts w:ascii="Arial" w:hAnsi="Arial" w:cs="Arial"/>
          <w:color w:val="000000"/>
          <w:sz w:val="20"/>
        </w:rPr>
        <w:t xml:space="preserve">Splnění této PP je navázáno na realizaci  projektu Předvídání kvalifikačních potřeb (PŘEKVAP).  Zpracovatel zakázky (Fond dalšího vzdělávání)  řádně plní zadané úkoly z jednotlivých klíčových  aktivit a dle harmonogramu Na měsíc listopad je plánována již jen realizace KA – 06 – Evaluace projektu, která by měla být splněna do 20. listopadu 2015 a finalizace samotného projektu k 30. </w:t>
      </w:r>
      <w:r>
        <w:rPr>
          <w:rFonts w:ascii="Arial" w:hAnsi="Arial" w:cs="Arial"/>
          <w:color w:val="000000"/>
          <w:sz w:val="20"/>
        </w:rPr>
        <w:lastRenderedPageBreak/>
        <w:t>listopadu 2015. Proto lze tuto PP považovat na národní úrovni za splněnou.</w:t>
      </w:r>
      <w:r w:rsidR="00A17AC1">
        <w:rPr>
          <w:rFonts w:ascii="Arial" w:hAnsi="Arial" w:cs="Arial"/>
          <w:color w:val="000000"/>
          <w:sz w:val="20"/>
        </w:rPr>
        <w:t xml:space="preserve"> Dokument bude po jeho finalizaci zaslán EK k vyjádření.</w:t>
      </w:r>
    </w:p>
    <w:p w:rsidR="002F465E" w:rsidRDefault="002F465E" w:rsidP="00F66A93">
      <w:pPr>
        <w:tabs>
          <w:tab w:val="left" w:pos="284"/>
        </w:tabs>
        <w:spacing w:before="0"/>
        <w:rPr>
          <w:rFonts w:ascii="Arial" w:eastAsia="Times New Roman" w:hAnsi="Arial" w:cs="Arial"/>
          <w:sz w:val="20"/>
          <w:szCs w:val="20"/>
          <w:bdr w:val="none" w:sz="0" w:space="0" w:color="auto" w:frame="1"/>
        </w:rPr>
      </w:pPr>
    </w:p>
    <w:p w:rsidR="00F66A93" w:rsidRPr="00F66A93" w:rsidRDefault="00F66A93" w:rsidP="00F66A93">
      <w:pPr>
        <w:tabs>
          <w:tab w:val="left" w:pos="284"/>
        </w:tabs>
        <w:spacing w:before="0"/>
        <w:rPr>
          <w:rFonts w:ascii="Arial" w:eastAsia="Times New Roman" w:hAnsi="Arial" w:cs="Arial"/>
          <w:b/>
          <w:sz w:val="20"/>
          <w:szCs w:val="20"/>
        </w:rPr>
      </w:pPr>
      <w:r w:rsidRPr="00F66A93">
        <w:rPr>
          <w:rFonts w:ascii="Arial" w:eastAsia="Times New Roman" w:hAnsi="Arial" w:cs="Arial"/>
          <w:b/>
          <w:sz w:val="20"/>
          <w:szCs w:val="20"/>
          <w:u w:val="single"/>
        </w:rPr>
        <w:t>T 9.2 Politika začleňování Romů</w:t>
      </w:r>
    </w:p>
    <w:p w:rsidR="00F66A93" w:rsidRPr="00F66A93" w:rsidRDefault="00F66A93" w:rsidP="00F66A93">
      <w:pPr>
        <w:tabs>
          <w:tab w:val="left" w:pos="284"/>
        </w:tabs>
        <w:spacing w:before="0"/>
        <w:rPr>
          <w:rFonts w:ascii="Arial" w:eastAsia="Times New Roman" w:hAnsi="Arial" w:cs="Arial"/>
          <w:sz w:val="20"/>
          <w:szCs w:val="20"/>
        </w:rPr>
      </w:pPr>
      <w:r w:rsidRPr="00F66A93">
        <w:rPr>
          <w:rFonts w:ascii="Arial" w:eastAsia="Times New Roman" w:hAnsi="Arial" w:cs="Arial"/>
          <w:sz w:val="20"/>
          <w:szCs w:val="20"/>
        </w:rPr>
        <w:t>(gestor: Úřad vlády ČR)</w:t>
      </w:r>
    </w:p>
    <w:p w:rsidR="00A12A74" w:rsidRDefault="00F66A93" w:rsidP="00F66A93">
      <w:pPr>
        <w:numPr>
          <w:ilvl w:val="0"/>
          <w:numId w:val="23"/>
        </w:numPr>
        <w:tabs>
          <w:tab w:val="left" w:pos="284"/>
        </w:tabs>
        <w:spacing w:before="0"/>
        <w:ind w:left="284" w:hanging="284"/>
        <w:rPr>
          <w:rFonts w:ascii="Arial" w:eastAsia="Times New Roman" w:hAnsi="Arial" w:cs="Arial"/>
          <w:sz w:val="20"/>
          <w:szCs w:val="20"/>
        </w:rPr>
      </w:pPr>
      <w:r w:rsidRPr="00F66A93">
        <w:rPr>
          <w:rFonts w:ascii="Arial" w:eastAsia="Times New Roman" w:hAnsi="Arial" w:cs="Arial"/>
          <w:sz w:val="20"/>
          <w:szCs w:val="20"/>
        </w:rPr>
        <w:t xml:space="preserve">Dne 3. června 2015 se uskutečnilo na ÚV jednání pracovní skupiny, kde byla mimo jiné řešena příprava Metodiky hodnocení a monitoringu Strategie romské integrace do roku 2020. Tato problematika je nadále řešena v rámci samostatné skupiny, jejíž ustavení proběhlo v červnu 2015. </w:t>
      </w:r>
    </w:p>
    <w:p w:rsidR="00F66A93" w:rsidRPr="00F66A93" w:rsidRDefault="00F66A93" w:rsidP="00F66A93">
      <w:pPr>
        <w:numPr>
          <w:ilvl w:val="0"/>
          <w:numId w:val="23"/>
        </w:numPr>
        <w:tabs>
          <w:tab w:val="left" w:pos="284"/>
        </w:tabs>
        <w:spacing w:before="0"/>
        <w:ind w:left="284" w:hanging="284"/>
        <w:rPr>
          <w:rFonts w:ascii="Arial" w:eastAsia="Times New Roman" w:hAnsi="Arial" w:cs="Arial"/>
          <w:sz w:val="20"/>
          <w:szCs w:val="20"/>
        </w:rPr>
      </w:pPr>
      <w:r w:rsidRPr="00F66A93">
        <w:rPr>
          <w:rFonts w:ascii="Arial" w:eastAsia="Times New Roman" w:hAnsi="Arial" w:cs="Arial"/>
          <w:sz w:val="20"/>
          <w:szCs w:val="20"/>
        </w:rPr>
        <w:t xml:space="preserve">V současné době probíhá ve spolupráci s dotčenými resorty příprava indikátorové soustavy k jednotlivým specifickým cílům Strategie romské integrace do roku 2020. Návrhy indikátorů za jednotlivé oblasti jsou průběžně konzultovány na jednání pracovní skupiny.  V červenci 2015 došlo k oslovení ŘO a věcných útvarů k návrhu indikátorů v jednotlivých oblastech s žádostí o zpětnou vazbu k navrženým indikátorům plnění Strategie romské integrace do roku 2020. Pracovní verze Metodiky by měla být zaslána do připomínkového řízení na přelomu listopadu a prosince 2015. </w:t>
      </w:r>
    </w:p>
    <w:p w:rsidR="00F66A93" w:rsidRPr="00F66A93" w:rsidRDefault="00F66A93" w:rsidP="00F66A93">
      <w:pPr>
        <w:tabs>
          <w:tab w:val="left" w:pos="284"/>
        </w:tabs>
        <w:spacing w:before="0"/>
        <w:rPr>
          <w:rFonts w:ascii="Arial" w:eastAsia="Times New Roman" w:hAnsi="Arial" w:cs="Arial"/>
          <w:sz w:val="20"/>
          <w:szCs w:val="20"/>
        </w:rPr>
      </w:pPr>
    </w:p>
    <w:p w:rsidR="00F66A93" w:rsidRPr="00F66A93" w:rsidRDefault="00F66A93" w:rsidP="00F66A93">
      <w:pPr>
        <w:tabs>
          <w:tab w:val="left" w:pos="284"/>
        </w:tabs>
        <w:spacing w:before="0"/>
        <w:rPr>
          <w:rFonts w:ascii="Arial" w:eastAsia="Times New Roman" w:hAnsi="Arial" w:cs="Arial"/>
          <w:b/>
          <w:sz w:val="20"/>
          <w:szCs w:val="20"/>
        </w:rPr>
      </w:pPr>
      <w:r w:rsidRPr="00F66A93">
        <w:rPr>
          <w:rFonts w:ascii="Arial" w:eastAsia="Times New Roman" w:hAnsi="Arial" w:cs="Arial"/>
          <w:b/>
          <w:sz w:val="20"/>
          <w:szCs w:val="20"/>
          <w:u w:val="single"/>
        </w:rPr>
        <w:t>T 9.3 Zdraví</w:t>
      </w:r>
    </w:p>
    <w:p w:rsidR="00F66A93" w:rsidRPr="00F66A93" w:rsidRDefault="00F66A93" w:rsidP="00F66A93">
      <w:pPr>
        <w:tabs>
          <w:tab w:val="left" w:pos="284"/>
        </w:tabs>
        <w:spacing w:before="0"/>
        <w:rPr>
          <w:rFonts w:ascii="Arial" w:eastAsia="Times New Roman" w:hAnsi="Arial" w:cs="Arial"/>
          <w:sz w:val="20"/>
          <w:szCs w:val="20"/>
        </w:rPr>
      </w:pPr>
      <w:r w:rsidRPr="00F66A93">
        <w:rPr>
          <w:rFonts w:ascii="Arial" w:eastAsia="Times New Roman" w:hAnsi="Arial" w:cs="Arial"/>
          <w:sz w:val="20"/>
          <w:szCs w:val="20"/>
        </w:rPr>
        <w:t>(gestor: ministerstvo zdravotnictví)</w:t>
      </w:r>
    </w:p>
    <w:p w:rsidR="003B3919" w:rsidRDefault="00F66A93" w:rsidP="0082540E">
      <w:pPr>
        <w:tabs>
          <w:tab w:val="left" w:pos="284"/>
        </w:tabs>
        <w:spacing w:before="0"/>
        <w:ind w:left="284"/>
        <w:rPr>
          <w:rFonts w:ascii="Arial" w:eastAsia="Times New Roman" w:hAnsi="Arial" w:cs="Arial"/>
          <w:sz w:val="20"/>
          <w:szCs w:val="20"/>
        </w:rPr>
      </w:pPr>
      <w:r w:rsidRPr="003B3919">
        <w:rPr>
          <w:rFonts w:ascii="Arial" w:eastAsia="Times New Roman" w:hAnsi="Arial" w:cs="Arial"/>
          <w:sz w:val="20"/>
          <w:szCs w:val="20"/>
        </w:rPr>
        <w:t xml:space="preserve">Akční plány pro implementaci Zdraví 2020, které obsahují popis stávajícího stavu, stanovení cílů a popis opatření, vč. finančního rámce, harmonogramu a byly schváleny poradou vedení </w:t>
      </w:r>
      <w:proofErr w:type="spellStart"/>
      <w:r w:rsidRPr="003B3919">
        <w:rPr>
          <w:rFonts w:ascii="Arial" w:eastAsia="Times New Roman" w:hAnsi="Arial" w:cs="Arial"/>
          <w:sz w:val="20"/>
          <w:szCs w:val="20"/>
        </w:rPr>
        <w:t>MZdr</w:t>
      </w:r>
      <w:proofErr w:type="spellEnd"/>
      <w:r w:rsidRPr="003B3919">
        <w:rPr>
          <w:rFonts w:ascii="Arial" w:eastAsia="Times New Roman" w:hAnsi="Arial" w:cs="Arial"/>
          <w:sz w:val="20"/>
          <w:szCs w:val="20"/>
        </w:rPr>
        <w:t xml:space="preserve"> </w:t>
      </w:r>
      <w:r w:rsidRPr="003B3919">
        <w:rPr>
          <w:rFonts w:ascii="Arial" w:eastAsia="Times New Roman" w:hAnsi="Arial" w:cs="Arial"/>
          <w:sz w:val="20"/>
          <w:szCs w:val="20"/>
        </w:rPr>
        <w:br/>
        <w:t xml:space="preserve">(26. června 2015) a byly předloženy k projednání vládou dne 20. srpna 2015 (bez rozpravy), které vláda ČR vzala na vědomí svým usnesením č. 671. Zdržení oproti předpokládanému termínu </w:t>
      </w:r>
      <w:r w:rsidRPr="003B3919">
        <w:rPr>
          <w:rFonts w:ascii="Arial" w:eastAsia="Times New Roman" w:hAnsi="Arial" w:cs="Arial"/>
          <w:sz w:val="20"/>
          <w:szCs w:val="20"/>
        </w:rPr>
        <w:br/>
        <w:t xml:space="preserve">(31. červenec 2015) bylo způsobeno náročným procesem vypořádání připomínek, které byly k dokumentu vzneseny v rámci meziresortního připomínkového řízení. Dokument však byl díky tomu předložen bez rozporů a ve shodě se všemi resorty. Tímto lze PP ze strany gestora považovat za splněnou.  </w:t>
      </w:r>
      <w:r w:rsidR="00D270C8" w:rsidRPr="003B3919">
        <w:rPr>
          <w:rFonts w:ascii="Arial" w:eastAsia="Times New Roman" w:hAnsi="Arial" w:cs="Arial"/>
          <w:sz w:val="20"/>
          <w:szCs w:val="20"/>
        </w:rPr>
        <w:t xml:space="preserve">Dokumenty byly zaslány EK dne </w:t>
      </w:r>
      <w:r w:rsidR="00C84CC2" w:rsidRPr="003B3919">
        <w:rPr>
          <w:rFonts w:ascii="Arial" w:eastAsia="Times New Roman" w:hAnsi="Arial" w:cs="Arial"/>
          <w:sz w:val="20"/>
          <w:szCs w:val="20"/>
        </w:rPr>
        <w:t>3.</w:t>
      </w:r>
      <w:r w:rsidR="00D270C8" w:rsidRPr="003B3919">
        <w:rPr>
          <w:rFonts w:ascii="Arial" w:eastAsia="Times New Roman" w:hAnsi="Arial" w:cs="Arial"/>
          <w:sz w:val="20"/>
          <w:szCs w:val="20"/>
        </w:rPr>
        <w:t xml:space="preserve"> listopadu 2015</w:t>
      </w:r>
      <w:r w:rsidR="000C1C63" w:rsidRPr="003B3919">
        <w:rPr>
          <w:rFonts w:ascii="Arial" w:eastAsia="Times New Roman" w:hAnsi="Arial" w:cs="Arial"/>
          <w:sz w:val="20"/>
          <w:szCs w:val="20"/>
        </w:rPr>
        <w:t xml:space="preserve">, nicméně </w:t>
      </w:r>
      <w:r w:rsidR="00960005">
        <w:rPr>
          <w:rFonts w:ascii="Arial" w:eastAsia="Times New Roman" w:hAnsi="Arial" w:cs="Arial"/>
          <w:sz w:val="20"/>
          <w:szCs w:val="20"/>
        </w:rPr>
        <w:t>vzhledem k</w:t>
      </w:r>
      <w:r w:rsidR="008746C4">
        <w:rPr>
          <w:rFonts w:ascii="Arial" w:eastAsia="Times New Roman" w:hAnsi="Arial" w:cs="Arial"/>
          <w:sz w:val="20"/>
          <w:szCs w:val="20"/>
        </w:rPr>
        <w:t> </w:t>
      </w:r>
      <w:r w:rsidR="00960005">
        <w:rPr>
          <w:rFonts w:ascii="Arial" w:eastAsia="Times New Roman" w:hAnsi="Arial" w:cs="Arial"/>
          <w:sz w:val="20"/>
          <w:szCs w:val="20"/>
        </w:rPr>
        <w:t>postoji</w:t>
      </w:r>
      <w:r w:rsidR="003B3919" w:rsidRPr="003B3919">
        <w:rPr>
          <w:rFonts w:ascii="Arial" w:eastAsia="Times New Roman" w:hAnsi="Arial" w:cs="Arial"/>
          <w:sz w:val="20"/>
          <w:szCs w:val="20"/>
        </w:rPr>
        <w:t xml:space="preserve"> EK </w:t>
      </w:r>
      <w:r w:rsidR="00960005">
        <w:rPr>
          <w:rFonts w:ascii="Arial" w:eastAsia="Times New Roman" w:hAnsi="Arial" w:cs="Arial"/>
          <w:sz w:val="20"/>
          <w:szCs w:val="20"/>
        </w:rPr>
        <w:t xml:space="preserve">týkajícího se dokumentů schválených vládou ČR </w:t>
      </w:r>
      <w:r w:rsidR="003B3919" w:rsidRPr="003B3919">
        <w:rPr>
          <w:rFonts w:ascii="Arial" w:eastAsia="Times New Roman" w:hAnsi="Arial" w:cs="Arial"/>
          <w:sz w:val="20"/>
          <w:szCs w:val="20"/>
        </w:rPr>
        <w:t xml:space="preserve">budou dokumenty v nejbližší době formálně předloženy </w:t>
      </w:r>
      <w:r w:rsidR="000C1C63" w:rsidRPr="003B3919">
        <w:rPr>
          <w:rFonts w:ascii="Arial" w:eastAsia="Times New Roman" w:hAnsi="Arial" w:cs="Arial"/>
          <w:sz w:val="20"/>
          <w:szCs w:val="20"/>
        </w:rPr>
        <w:t>EK</w:t>
      </w:r>
      <w:r w:rsidR="003B3919" w:rsidRPr="003B3919">
        <w:rPr>
          <w:rFonts w:ascii="Arial" w:eastAsia="Times New Roman" w:hAnsi="Arial" w:cs="Arial"/>
          <w:sz w:val="20"/>
          <w:szCs w:val="20"/>
        </w:rPr>
        <w:t xml:space="preserve"> přes systém SFC. </w:t>
      </w:r>
      <w:r w:rsidR="000C1C63" w:rsidRPr="003B3919">
        <w:rPr>
          <w:rFonts w:ascii="Arial" w:eastAsia="Times New Roman" w:hAnsi="Arial" w:cs="Arial"/>
          <w:sz w:val="20"/>
          <w:szCs w:val="20"/>
        </w:rPr>
        <w:t xml:space="preserve"> </w:t>
      </w:r>
    </w:p>
    <w:p w:rsidR="00D270C8" w:rsidRPr="00D270C8" w:rsidRDefault="00D270C8" w:rsidP="0082540E">
      <w:pPr>
        <w:tabs>
          <w:tab w:val="left" w:pos="284"/>
        </w:tabs>
        <w:spacing w:before="0"/>
        <w:ind w:left="284"/>
        <w:rPr>
          <w:rFonts w:ascii="Arial" w:eastAsia="Times New Roman" w:hAnsi="Arial" w:cs="Arial"/>
          <w:sz w:val="20"/>
          <w:szCs w:val="20"/>
        </w:rPr>
      </w:pPr>
    </w:p>
    <w:p w:rsidR="00F66A93" w:rsidRPr="00F66A93" w:rsidRDefault="00F66A93" w:rsidP="00F66A93">
      <w:pPr>
        <w:keepNext/>
        <w:spacing w:before="0"/>
        <w:rPr>
          <w:rFonts w:ascii="Arial" w:eastAsia="Times New Roman" w:hAnsi="Arial" w:cs="Arial"/>
          <w:b/>
          <w:sz w:val="20"/>
          <w:szCs w:val="20"/>
          <w:u w:val="single"/>
          <w:bdr w:val="none" w:sz="0" w:space="0" w:color="auto" w:frame="1"/>
        </w:rPr>
      </w:pPr>
      <w:r w:rsidRPr="00F66A93">
        <w:rPr>
          <w:rFonts w:ascii="Arial" w:eastAsia="Times New Roman" w:hAnsi="Arial" w:cs="Arial"/>
          <w:b/>
          <w:sz w:val="20"/>
          <w:szCs w:val="20"/>
          <w:u w:val="single"/>
          <w:bdr w:val="none" w:sz="0" w:space="0" w:color="auto" w:frame="1"/>
        </w:rPr>
        <w:t>T 10.1, 10.3, Ukončování školní docházky, Celoživotní učení</w:t>
      </w:r>
    </w:p>
    <w:p w:rsidR="00F66A93" w:rsidRPr="00F66A93" w:rsidRDefault="00F66A93" w:rsidP="00F66A93">
      <w:pPr>
        <w:keepNext/>
        <w:spacing w:before="0"/>
        <w:rPr>
          <w:rFonts w:ascii="Arial" w:eastAsia="Times New Roman" w:hAnsi="Arial" w:cs="Arial"/>
          <w:b/>
          <w:sz w:val="20"/>
          <w:szCs w:val="20"/>
          <w:u w:val="single"/>
          <w:bdr w:val="none" w:sz="0" w:space="0" w:color="auto" w:frame="1"/>
        </w:rPr>
      </w:pPr>
      <w:r w:rsidRPr="00F66A93">
        <w:rPr>
          <w:rFonts w:ascii="Arial" w:eastAsia="Times New Roman" w:hAnsi="Arial" w:cs="Arial"/>
          <w:sz w:val="20"/>
          <w:szCs w:val="20"/>
        </w:rPr>
        <w:t>(gestor: ministerstvo školství, mládeže a tělovýchovy)</w:t>
      </w:r>
    </w:p>
    <w:p w:rsidR="00F66A93" w:rsidRDefault="00F66A93" w:rsidP="0082540E">
      <w:pPr>
        <w:keepNext/>
        <w:spacing w:before="0"/>
        <w:ind w:left="284"/>
        <w:rPr>
          <w:rFonts w:ascii="Arial" w:eastAsia="Times New Roman" w:hAnsi="Arial" w:cs="Arial"/>
          <w:b/>
          <w:sz w:val="20"/>
          <w:szCs w:val="20"/>
          <w:u w:val="single"/>
          <w:bdr w:val="none" w:sz="0" w:space="0" w:color="auto" w:frame="1"/>
        </w:rPr>
      </w:pPr>
      <w:r w:rsidRPr="00536290">
        <w:rPr>
          <w:rFonts w:ascii="Arial" w:eastAsia="Times New Roman" w:hAnsi="Arial" w:cs="Arial"/>
          <w:sz w:val="20"/>
          <w:szCs w:val="20"/>
        </w:rPr>
        <w:t xml:space="preserve">Na jednání vlády dne 29. července 2015 (v bodě pro informaci) byl předložen Akční plán inkluzivního vzdělávání na období 2016-2018 (APIV), který je součástí naplňování PP 10.1 a 10.3 a dotváří soustavu strategických a implementačních dokumentů v oblasti vzdělávání. Akční plán byl MŠMT schválen o měsíc později oproti akčnímu plánu, nicméně EK avizovala pochopení pro realistický posun termínu schválení dokumentu v závislosti na plánovaných datech prvních výzev v této oblasti. Dne 31. července 2015 byl APIV přes SFC odeslán na EK, čímž započal formální dialog s EK vedoucí ke konečné verifikaci PP. </w:t>
      </w:r>
    </w:p>
    <w:p w:rsidR="00536290" w:rsidRPr="00536290" w:rsidRDefault="00536290" w:rsidP="00536290">
      <w:pPr>
        <w:keepNext/>
        <w:spacing w:before="0"/>
        <w:rPr>
          <w:rFonts w:ascii="Arial" w:eastAsia="Times New Roman" w:hAnsi="Arial" w:cs="Arial"/>
          <w:b/>
          <w:sz w:val="20"/>
          <w:szCs w:val="20"/>
          <w:u w:val="single"/>
          <w:bdr w:val="none" w:sz="0" w:space="0" w:color="auto" w:frame="1"/>
        </w:rPr>
      </w:pPr>
    </w:p>
    <w:p w:rsidR="00F66A93" w:rsidRPr="00F66A93" w:rsidRDefault="00F66A93" w:rsidP="00F66A93">
      <w:pPr>
        <w:spacing w:before="0"/>
        <w:rPr>
          <w:rFonts w:ascii="Arial" w:eastAsia="Times New Roman" w:hAnsi="Arial" w:cs="Arial"/>
          <w:b/>
          <w:sz w:val="20"/>
          <w:szCs w:val="20"/>
          <w:bdr w:val="none" w:sz="0" w:space="0" w:color="auto" w:frame="1"/>
        </w:rPr>
      </w:pPr>
      <w:r w:rsidRPr="00F66A93">
        <w:rPr>
          <w:rFonts w:ascii="Arial" w:eastAsia="Times New Roman" w:hAnsi="Arial" w:cs="Arial"/>
          <w:b/>
          <w:sz w:val="20"/>
          <w:szCs w:val="20"/>
          <w:u w:val="single"/>
          <w:bdr w:val="none" w:sz="0" w:space="0" w:color="auto" w:frame="1"/>
        </w:rPr>
        <w:t>T 11 Veřejná správa</w:t>
      </w:r>
      <w:r w:rsidRPr="00F66A93">
        <w:rPr>
          <w:rFonts w:ascii="Arial" w:eastAsia="Times New Roman" w:hAnsi="Arial" w:cs="Arial"/>
          <w:b/>
          <w:sz w:val="20"/>
          <w:szCs w:val="20"/>
          <w:bdr w:val="none" w:sz="0" w:space="0" w:color="auto" w:frame="1"/>
        </w:rPr>
        <w:t xml:space="preserve"> </w:t>
      </w:r>
    </w:p>
    <w:p w:rsidR="00F66A93" w:rsidRPr="00F66A93" w:rsidRDefault="00F66A93" w:rsidP="00F66A93">
      <w:pPr>
        <w:spacing w:before="0"/>
        <w:rPr>
          <w:rFonts w:ascii="Arial" w:eastAsia="Times New Roman" w:hAnsi="Arial" w:cs="Arial"/>
          <w:sz w:val="20"/>
          <w:szCs w:val="20"/>
        </w:rPr>
      </w:pPr>
      <w:r w:rsidRPr="00F66A93">
        <w:rPr>
          <w:rFonts w:ascii="Arial" w:eastAsia="Times New Roman" w:hAnsi="Arial" w:cs="Arial"/>
          <w:sz w:val="20"/>
          <w:szCs w:val="20"/>
        </w:rPr>
        <w:t>(gestor: ministerstvo vnitra)</w:t>
      </w:r>
    </w:p>
    <w:p w:rsidR="00F66A93" w:rsidRPr="00F66A93" w:rsidRDefault="00F66A93" w:rsidP="00F66A93">
      <w:pPr>
        <w:numPr>
          <w:ilvl w:val="0"/>
          <w:numId w:val="21"/>
        </w:numPr>
        <w:spacing w:before="0"/>
        <w:ind w:left="284" w:hanging="284"/>
        <w:rPr>
          <w:rFonts w:ascii="Arial" w:eastAsia="Times New Roman" w:hAnsi="Arial" w:cs="Arial"/>
          <w:b/>
          <w:sz w:val="20"/>
          <w:szCs w:val="20"/>
          <w:u w:val="single"/>
          <w:bdr w:val="none" w:sz="0" w:space="0" w:color="auto" w:frame="1"/>
        </w:rPr>
      </w:pPr>
      <w:r w:rsidRPr="00F66A93">
        <w:rPr>
          <w:rFonts w:ascii="Arial" w:eastAsia="Times New Roman" w:hAnsi="Arial" w:cs="Arial"/>
          <w:sz w:val="20"/>
          <w:szCs w:val="20"/>
        </w:rPr>
        <w:t>Vláda ČR na svém zasedání 20. srpna 2015 schválila doplnění a aktualizaci Implementačních plánů Strategického rámce rozvoje veřejné správy České republiky pro období 2014 – 2020. V Implementačních plánech jsou stanoveny jednotlivé činnosti a aktivity (včetně navrhovaných legislativních změn), které vstupují do naplňování relevantních kritérií předběžné podmínky. V rámci doplnění a aktualizace Implementační plánů pro Strategické cíle 1, 2 a 4 byly zapracovány plánované záměry projektů v oblasti veřejné správy. V rámci aktualizace Implementačního plánu Strategického cíle 3 byly zpracovány a vloženy informace k projektovým okruhům. Celková revize IP SRRVS by tak měla mimo jiné sloužit pro efektivní propojení strategického plánování a plánování výzev v příslušných operačních programech, jakož i plánování realizace intervencí jdoucích mimo ESI fondy.</w:t>
      </w:r>
    </w:p>
    <w:p w:rsidR="00F66A93" w:rsidRPr="00261C4D" w:rsidRDefault="00F66A93" w:rsidP="00261C4D">
      <w:pPr>
        <w:numPr>
          <w:ilvl w:val="0"/>
          <w:numId w:val="21"/>
        </w:numPr>
        <w:spacing w:before="0"/>
        <w:ind w:left="284" w:hanging="284"/>
        <w:rPr>
          <w:rFonts w:ascii="Arial" w:eastAsia="Times New Roman" w:hAnsi="Arial" w:cs="Arial"/>
          <w:sz w:val="20"/>
          <w:szCs w:val="20"/>
        </w:rPr>
      </w:pPr>
      <w:r w:rsidRPr="00F66A93">
        <w:rPr>
          <w:rFonts w:ascii="Arial" w:eastAsia="Times New Roman" w:hAnsi="Arial" w:cs="Arial"/>
          <w:sz w:val="20"/>
          <w:szCs w:val="20"/>
        </w:rPr>
        <w:lastRenderedPageBreak/>
        <w:t>Mimo to všechny Implementační plány pro Strategické cíle mají jednotný systém monitorování a hodnocení stavu plnění cílů/opatření/aktivit uvedených v Implementačních plánech ve struktuře schválené Radou vlády pro veřejnou správu</w:t>
      </w:r>
      <w:r w:rsidR="00261C4D">
        <w:rPr>
          <w:rFonts w:ascii="Arial" w:eastAsia="Times New Roman" w:hAnsi="Arial" w:cs="Arial"/>
          <w:sz w:val="20"/>
          <w:szCs w:val="20"/>
        </w:rPr>
        <w:t xml:space="preserve"> (RV VS)</w:t>
      </w:r>
      <w:r w:rsidR="00261C4D" w:rsidRPr="00F66A93">
        <w:rPr>
          <w:rFonts w:ascii="Arial" w:eastAsia="Times New Roman" w:hAnsi="Arial" w:cs="Arial"/>
          <w:sz w:val="20"/>
          <w:szCs w:val="20"/>
        </w:rPr>
        <w:t>.</w:t>
      </w:r>
      <w:r w:rsidRPr="00F66A93">
        <w:rPr>
          <w:rFonts w:ascii="Arial" w:eastAsia="Times New Roman" w:hAnsi="Arial" w:cs="Arial"/>
          <w:sz w:val="20"/>
          <w:szCs w:val="20"/>
        </w:rPr>
        <w:t xml:space="preserve"> První dílčí vyhodnocení cílů Implementačních plánů proběhlo v září 2015 a bylo vzato na vědomí </w:t>
      </w:r>
      <w:r w:rsidR="00A12A74">
        <w:rPr>
          <w:rFonts w:ascii="Arial" w:eastAsia="Times New Roman" w:hAnsi="Arial" w:cs="Arial"/>
          <w:sz w:val="20"/>
          <w:szCs w:val="20"/>
        </w:rPr>
        <w:t xml:space="preserve">RV VS na svém zasedání dne 25. září </w:t>
      </w:r>
      <w:r w:rsidR="00261C4D" w:rsidRPr="00261C4D">
        <w:rPr>
          <w:rFonts w:ascii="Arial" w:eastAsia="Times New Roman" w:hAnsi="Arial" w:cs="Arial"/>
          <w:sz w:val="20"/>
          <w:szCs w:val="20"/>
        </w:rPr>
        <w:t xml:space="preserve">2015. Hodnocení naplňování opatření, vč. zhodnocení řízení rizik, bude dílčím způsobem probíhat 2x ročně, rozsáhlejší zhodnocení Implementačních plánů ve struktuře schválené </w:t>
      </w:r>
      <w:r w:rsidR="00A12A74">
        <w:rPr>
          <w:rFonts w:ascii="Arial" w:eastAsia="Times New Roman" w:hAnsi="Arial" w:cs="Arial"/>
          <w:sz w:val="20"/>
          <w:szCs w:val="20"/>
        </w:rPr>
        <w:t xml:space="preserve">RV VS a vládou </w:t>
      </w:r>
      <w:r w:rsidR="00261C4D" w:rsidRPr="00261C4D">
        <w:rPr>
          <w:rFonts w:ascii="Arial" w:eastAsia="Times New Roman" w:hAnsi="Arial" w:cs="Arial"/>
          <w:sz w:val="20"/>
          <w:szCs w:val="20"/>
        </w:rPr>
        <w:t>pak 1x ročně.</w:t>
      </w:r>
    </w:p>
    <w:p w:rsidR="00F66A93" w:rsidRPr="00F66A93" w:rsidRDefault="00F66A93" w:rsidP="00F66A93">
      <w:pPr>
        <w:numPr>
          <w:ilvl w:val="0"/>
          <w:numId w:val="21"/>
        </w:numPr>
        <w:spacing w:before="0"/>
        <w:ind w:left="284" w:hanging="284"/>
        <w:rPr>
          <w:rFonts w:ascii="Arial" w:eastAsia="Times New Roman" w:hAnsi="Arial" w:cs="Arial"/>
          <w:b/>
          <w:sz w:val="20"/>
          <w:szCs w:val="20"/>
          <w:u w:val="single"/>
          <w:bdr w:val="none" w:sz="0" w:space="0" w:color="auto" w:frame="1"/>
        </w:rPr>
      </w:pPr>
      <w:r w:rsidRPr="00F66A93">
        <w:rPr>
          <w:rFonts w:ascii="Arial" w:eastAsia="Times New Roman" w:hAnsi="Arial" w:cs="Arial"/>
          <w:sz w:val="20"/>
          <w:szCs w:val="20"/>
        </w:rPr>
        <w:t xml:space="preserve">Termíny u realizace některých opatření, která vstupují do naplňování některých nesplněných kritérií, jsou stanoveny až na konec roku 2016, což je nejzazší termín splnění PP podle nařízení EU. Zároveň dochází v rámci aktualizace Implementačních plánů k posunům termínů u některých opatření na rok 2016. Tato skutečnost byla komunikována s </w:t>
      </w:r>
      <w:r w:rsidR="00A12A74">
        <w:rPr>
          <w:rFonts w:ascii="Arial" w:eastAsia="Times New Roman" w:hAnsi="Arial" w:cs="Arial"/>
          <w:sz w:val="20"/>
          <w:szCs w:val="20"/>
        </w:rPr>
        <w:t>EK</w:t>
      </w:r>
      <w:r w:rsidRPr="00F66A93">
        <w:rPr>
          <w:rFonts w:ascii="Arial" w:eastAsia="Times New Roman" w:hAnsi="Arial" w:cs="Arial"/>
          <w:sz w:val="20"/>
          <w:szCs w:val="20"/>
        </w:rPr>
        <w:t>, neboť akční plány včetně termínů a nastavených opatření jsou již schválené a veškeré změny v nich provedené tak musí být i Evropskou komisí odsouhlasené. Reporting těchto změn byl proveden prostřednictvím červnové Čtvrtletní zprávy pro EK. Tato skutečnost byla EK posouzena jako méně významná a EK deklarovala, že nemá problém s dílčím posunem termínu v rámci jednotlivých opatření ke splnění PP, když se nemění celkový termín splnění PP.</w:t>
      </w:r>
      <w:r w:rsidRPr="00F66A93">
        <w:rPr>
          <w:rFonts w:ascii="Arial" w:eastAsia="Times New Roman" w:hAnsi="Arial" w:cs="Arial"/>
          <w:b/>
          <w:sz w:val="20"/>
          <w:szCs w:val="20"/>
        </w:rPr>
        <w:t xml:space="preserve"> </w:t>
      </w:r>
    </w:p>
    <w:p w:rsidR="0097472C" w:rsidRDefault="00F66A93" w:rsidP="0097472C">
      <w:pPr>
        <w:numPr>
          <w:ilvl w:val="0"/>
          <w:numId w:val="21"/>
        </w:numPr>
        <w:spacing w:before="0"/>
        <w:ind w:left="284" w:hanging="284"/>
        <w:rPr>
          <w:rFonts w:ascii="Arial" w:eastAsia="Times New Roman" w:hAnsi="Arial" w:cs="Arial"/>
          <w:b/>
          <w:sz w:val="20"/>
          <w:szCs w:val="20"/>
          <w:u w:val="single"/>
          <w:bdr w:val="none" w:sz="0" w:space="0" w:color="auto" w:frame="1"/>
        </w:rPr>
      </w:pPr>
      <w:r w:rsidRPr="00F66A93">
        <w:rPr>
          <w:rFonts w:ascii="Arial" w:eastAsia="Times New Roman" w:hAnsi="Arial" w:cs="Arial"/>
          <w:sz w:val="20"/>
          <w:szCs w:val="20"/>
        </w:rPr>
        <w:t>Přes dílčí posuny v naplňování některých kritérií (např. v souvislosti s prosazováním principu open data došlo k plnému spuštění Národního katalogu otevřených dat veřejné správy ČR) se naplňování této PP jeví jako stále značně rizikové a musí být pečlivě monitorováno, i např. prostřednictvím nastavených mechanismů koordinace a účasti na příslušných jednáních Řídících výborů Rady vlády pro veřejnou správu, příp. Rady vlády pro informační společnost. Realizace implementačních plánů je také konfrontována se systémem řízení rizik, do něhož je zařazeno i riziko nesplnění PP.</w:t>
      </w:r>
    </w:p>
    <w:p w:rsidR="00820540" w:rsidRPr="0097472C" w:rsidRDefault="004C558C" w:rsidP="0097472C">
      <w:pPr>
        <w:numPr>
          <w:ilvl w:val="0"/>
          <w:numId w:val="21"/>
        </w:numPr>
        <w:spacing w:before="0"/>
        <w:ind w:left="284" w:hanging="284"/>
        <w:rPr>
          <w:rFonts w:ascii="Arial" w:eastAsia="Times New Roman" w:hAnsi="Arial" w:cs="Arial"/>
          <w:b/>
          <w:sz w:val="20"/>
          <w:szCs w:val="20"/>
          <w:u w:val="single"/>
          <w:bdr w:val="none" w:sz="0" w:space="0" w:color="auto" w:frame="1"/>
        </w:rPr>
      </w:pPr>
      <w:r w:rsidRPr="0097472C">
        <w:rPr>
          <w:rFonts w:ascii="Arial" w:eastAsia="Times New Roman" w:hAnsi="Arial" w:cs="Arial"/>
          <w:sz w:val="20"/>
          <w:szCs w:val="20"/>
        </w:rPr>
        <w:t>Vláda na svém zasedání</w:t>
      </w:r>
      <w:r w:rsidR="004C0838" w:rsidRPr="0097472C">
        <w:rPr>
          <w:rFonts w:ascii="Arial" w:eastAsia="Times New Roman" w:hAnsi="Arial" w:cs="Arial"/>
          <w:sz w:val="20"/>
          <w:szCs w:val="20"/>
        </w:rPr>
        <w:t xml:space="preserve"> </w:t>
      </w:r>
      <w:r w:rsidRPr="0097472C">
        <w:rPr>
          <w:rFonts w:ascii="Arial" w:eastAsia="Times New Roman" w:hAnsi="Arial" w:cs="Arial"/>
          <w:sz w:val="20"/>
          <w:szCs w:val="20"/>
        </w:rPr>
        <w:t>2.</w:t>
      </w:r>
      <w:r w:rsidR="004C0838" w:rsidRPr="0097472C">
        <w:rPr>
          <w:rFonts w:ascii="Arial" w:eastAsia="Times New Roman" w:hAnsi="Arial" w:cs="Arial"/>
          <w:sz w:val="20"/>
          <w:szCs w:val="20"/>
        </w:rPr>
        <w:t xml:space="preserve"> </w:t>
      </w:r>
      <w:r w:rsidR="009F63CE" w:rsidRPr="0097472C">
        <w:rPr>
          <w:rFonts w:ascii="Arial" w:eastAsia="Times New Roman" w:hAnsi="Arial" w:cs="Arial"/>
          <w:sz w:val="20"/>
          <w:szCs w:val="20"/>
        </w:rPr>
        <w:t xml:space="preserve">listopadu </w:t>
      </w:r>
      <w:r w:rsidRPr="0097472C">
        <w:rPr>
          <w:rFonts w:ascii="Arial" w:eastAsia="Times New Roman" w:hAnsi="Arial" w:cs="Arial"/>
          <w:sz w:val="20"/>
          <w:szCs w:val="20"/>
        </w:rPr>
        <w:t>2015 schválila Strat</w:t>
      </w:r>
      <w:r w:rsidR="006B1456" w:rsidRPr="0097472C">
        <w:rPr>
          <w:rFonts w:ascii="Arial" w:eastAsia="Times New Roman" w:hAnsi="Arial" w:cs="Arial"/>
          <w:sz w:val="20"/>
          <w:szCs w:val="20"/>
        </w:rPr>
        <w:t>egii rozvoje ICT služeb veřejné</w:t>
      </w:r>
      <w:r w:rsidRPr="0097472C">
        <w:rPr>
          <w:rFonts w:ascii="Arial" w:eastAsia="Times New Roman" w:hAnsi="Arial" w:cs="Arial"/>
          <w:sz w:val="20"/>
          <w:szCs w:val="20"/>
        </w:rPr>
        <w:t xml:space="preserve"> správy</w:t>
      </w:r>
      <w:r w:rsidR="008F0B7F" w:rsidRPr="0097472C">
        <w:rPr>
          <w:rFonts w:ascii="Arial" w:eastAsia="Times New Roman" w:hAnsi="Arial" w:cs="Arial"/>
          <w:sz w:val="20"/>
          <w:szCs w:val="20"/>
        </w:rPr>
        <w:t xml:space="preserve"> </w:t>
      </w:r>
      <w:r w:rsidRPr="0097472C">
        <w:rPr>
          <w:rFonts w:ascii="Arial" w:eastAsia="Times New Roman" w:hAnsi="Arial" w:cs="Arial"/>
          <w:sz w:val="20"/>
          <w:szCs w:val="20"/>
        </w:rPr>
        <w:t>a</w:t>
      </w:r>
      <w:r w:rsidR="00813BA4">
        <w:rPr>
          <w:rFonts w:ascii="Arial" w:eastAsia="Times New Roman" w:hAnsi="Arial" w:cs="Arial"/>
          <w:sz w:val="20"/>
          <w:szCs w:val="20"/>
        </w:rPr>
        <w:t> </w:t>
      </w:r>
      <w:r w:rsidRPr="0097472C">
        <w:rPr>
          <w:rFonts w:ascii="Arial" w:eastAsia="Times New Roman" w:hAnsi="Arial" w:cs="Arial"/>
          <w:sz w:val="20"/>
          <w:szCs w:val="20"/>
        </w:rPr>
        <w:t>její opatření na zefektivn</w:t>
      </w:r>
      <w:r w:rsidR="000D21FB" w:rsidRPr="0097472C">
        <w:rPr>
          <w:rFonts w:ascii="Arial" w:eastAsia="Times New Roman" w:hAnsi="Arial" w:cs="Arial"/>
          <w:sz w:val="20"/>
          <w:szCs w:val="20"/>
        </w:rPr>
        <w:t>ěn</w:t>
      </w:r>
      <w:r w:rsidRPr="0097472C">
        <w:rPr>
          <w:rFonts w:ascii="Arial" w:eastAsia="Times New Roman" w:hAnsi="Arial" w:cs="Arial"/>
          <w:sz w:val="20"/>
          <w:szCs w:val="20"/>
        </w:rPr>
        <w:t xml:space="preserve">í ICT služeb. </w:t>
      </w:r>
      <w:r w:rsidR="006B1456" w:rsidRPr="0082540E">
        <w:rPr>
          <w:rFonts w:ascii="Arial" w:hAnsi="Arial" w:cs="Arial"/>
          <w:sz w:val="20"/>
          <w:szCs w:val="20"/>
        </w:rPr>
        <w:t xml:space="preserve">Tento dokument navazuje na „Strategický rámec rozvoje veřejné správy České republiky pro období 2014 – 2020“, který v několika směrech dále rozpracovává. Zaměřuje se na realizaci strategického cíle „Zvýšení dostupnosti a transparentnosti veřejné správy prostřednictvím nástrojů </w:t>
      </w:r>
      <w:proofErr w:type="spellStart"/>
      <w:r w:rsidR="006B1456" w:rsidRPr="0082540E">
        <w:rPr>
          <w:rFonts w:ascii="Arial" w:hAnsi="Arial" w:cs="Arial"/>
          <w:sz w:val="20"/>
          <w:szCs w:val="20"/>
        </w:rPr>
        <w:t>eGovernmentu</w:t>
      </w:r>
      <w:proofErr w:type="spellEnd"/>
      <w:r w:rsidR="00820540" w:rsidRPr="0097472C">
        <w:rPr>
          <w:rFonts w:ascii="Arial" w:hAnsi="Arial" w:cs="Arial"/>
          <w:sz w:val="20"/>
          <w:szCs w:val="20"/>
        </w:rPr>
        <w:t>.</w:t>
      </w:r>
      <w:r w:rsidR="006B1456" w:rsidRPr="0082540E">
        <w:rPr>
          <w:rFonts w:ascii="Arial" w:hAnsi="Arial" w:cs="Arial"/>
          <w:sz w:val="20"/>
          <w:szCs w:val="20"/>
        </w:rPr>
        <w:t>“</w:t>
      </w:r>
    </w:p>
    <w:p w:rsidR="00F66A93" w:rsidRPr="00820540" w:rsidRDefault="00820540" w:rsidP="009F63CE">
      <w:pPr>
        <w:keepNext/>
        <w:numPr>
          <w:ilvl w:val="0"/>
          <w:numId w:val="21"/>
        </w:numPr>
        <w:spacing w:before="240"/>
        <w:ind w:left="284" w:hanging="284"/>
        <w:rPr>
          <w:rFonts w:ascii="Arial" w:eastAsia="Times New Roman" w:hAnsi="Arial" w:cs="Arial"/>
          <w:b/>
          <w:sz w:val="20"/>
          <w:szCs w:val="20"/>
          <w:u w:val="single"/>
          <w:bdr w:val="none" w:sz="0" w:space="0" w:color="auto" w:frame="1"/>
        </w:rPr>
      </w:pPr>
      <w:r>
        <w:rPr>
          <w:rFonts w:ascii="Arial" w:eastAsia="Times New Roman" w:hAnsi="Arial" w:cs="Arial"/>
          <w:b/>
          <w:sz w:val="20"/>
          <w:szCs w:val="20"/>
          <w:u w:val="single"/>
          <w:bdr w:val="none" w:sz="0" w:space="0" w:color="auto" w:frame="1"/>
        </w:rPr>
        <w:t>T</w:t>
      </w:r>
      <w:r w:rsidR="00F66A93" w:rsidRPr="00820540">
        <w:rPr>
          <w:rFonts w:ascii="Arial" w:eastAsia="Times New Roman" w:hAnsi="Arial" w:cs="Arial"/>
          <w:b/>
          <w:sz w:val="20"/>
          <w:szCs w:val="20"/>
          <w:u w:val="single"/>
          <w:bdr w:val="none" w:sz="0" w:space="0" w:color="auto" w:frame="1"/>
        </w:rPr>
        <w:t xml:space="preserve"> 11 Služební zákon </w:t>
      </w:r>
    </w:p>
    <w:p w:rsidR="00F66A93" w:rsidRPr="00F66A93" w:rsidRDefault="00F66A93" w:rsidP="00F66A93">
      <w:pPr>
        <w:spacing w:before="0"/>
        <w:rPr>
          <w:rFonts w:ascii="Arial" w:eastAsia="Times New Roman" w:hAnsi="Arial" w:cs="Arial"/>
          <w:bCs/>
          <w:sz w:val="20"/>
          <w:szCs w:val="20"/>
          <w:bdr w:val="none" w:sz="0" w:space="0" w:color="auto" w:frame="1"/>
        </w:rPr>
      </w:pPr>
      <w:r w:rsidRPr="00F66A93">
        <w:rPr>
          <w:rFonts w:ascii="Arial" w:eastAsia="Times New Roman" w:hAnsi="Arial" w:cs="Arial"/>
          <w:bCs/>
          <w:sz w:val="20"/>
          <w:szCs w:val="20"/>
          <w:bdr w:val="none" w:sz="0" w:space="0" w:color="auto" w:frame="1"/>
        </w:rPr>
        <w:t>(gestor: sekce náměstka pro státní službu, problematika odměňování gestor: ministerstvo práce a sociálních věcí a ministerstvo financí)</w:t>
      </w:r>
    </w:p>
    <w:p w:rsidR="00F66A93" w:rsidRPr="00F66A93" w:rsidRDefault="00F66A93" w:rsidP="00F66A93">
      <w:pPr>
        <w:numPr>
          <w:ilvl w:val="0"/>
          <w:numId w:val="6"/>
        </w:numPr>
        <w:spacing w:before="0"/>
        <w:ind w:left="284" w:hanging="284"/>
        <w:rPr>
          <w:rFonts w:ascii="Arial" w:eastAsia="Times New Roman" w:hAnsi="Arial" w:cs="Arial"/>
          <w:sz w:val="20"/>
          <w:szCs w:val="20"/>
        </w:rPr>
      </w:pPr>
      <w:r w:rsidRPr="00F66A93">
        <w:rPr>
          <w:rFonts w:ascii="Arial" w:eastAsia="Times New Roman" w:hAnsi="Arial" w:cs="Arial"/>
          <w:sz w:val="20"/>
          <w:szCs w:val="20"/>
        </w:rPr>
        <w:t xml:space="preserve">Komplexní aktualizace Metodického pokynu k rozvoji lidských zdrojů započala po vstupu všech prováděcích předpisů zákona č. 234/2014 Sb., o státní službě, v platnost. Samotná aktualizace proběhla 30. </w:t>
      </w:r>
      <w:r w:rsidR="00A12A74">
        <w:rPr>
          <w:rFonts w:ascii="Arial" w:eastAsia="Times New Roman" w:hAnsi="Arial" w:cs="Arial"/>
          <w:sz w:val="20"/>
          <w:szCs w:val="20"/>
        </w:rPr>
        <w:t>září</w:t>
      </w:r>
      <w:r w:rsidRPr="00F66A93">
        <w:rPr>
          <w:rFonts w:ascii="Arial" w:eastAsia="Times New Roman" w:hAnsi="Arial" w:cs="Arial"/>
          <w:sz w:val="20"/>
          <w:szCs w:val="20"/>
        </w:rPr>
        <w:t xml:space="preserve"> 2015 a Metodický pokyn k rozvoji lidských zdrojů tak nabude účinnosti </w:t>
      </w:r>
      <w:r w:rsidRPr="00F66A93">
        <w:rPr>
          <w:rFonts w:ascii="Arial" w:eastAsia="Times New Roman" w:hAnsi="Arial" w:cs="Arial"/>
          <w:sz w:val="20"/>
          <w:szCs w:val="20"/>
        </w:rPr>
        <w:br/>
        <w:t>k 1. listopadu 2015.</w:t>
      </w:r>
    </w:p>
    <w:p w:rsidR="00F66A93" w:rsidRPr="00F66A93" w:rsidRDefault="00F66A93" w:rsidP="00F66A93">
      <w:pPr>
        <w:numPr>
          <w:ilvl w:val="0"/>
          <w:numId w:val="6"/>
        </w:numPr>
        <w:spacing w:before="0"/>
        <w:ind w:left="284" w:hanging="284"/>
        <w:rPr>
          <w:rFonts w:ascii="Arial" w:eastAsia="Times New Roman" w:hAnsi="Arial" w:cs="Arial"/>
          <w:sz w:val="20"/>
          <w:szCs w:val="20"/>
        </w:rPr>
      </w:pPr>
      <w:r w:rsidRPr="00F66A93">
        <w:rPr>
          <w:rFonts w:ascii="Arial" w:eastAsia="Times New Roman" w:hAnsi="Arial" w:cs="Arial"/>
          <w:sz w:val="20"/>
          <w:szCs w:val="20"/>
        </w:rPr>
        <w:t>Zároveň došlo k první systemizaci a tím i naplnění jednoho z kritérií předběžné podmínky, tím pádem se zvýšila i procentuální míra splnění, a to na 50%.</w:t>
      </w:r>
    </w:p>
    <w:p w:rsidR="00F66A93" w:rsidRDefault="00F66A93" w:rsidP="00F66A93">
      <w:pPr>
        <w:numPr>
          <w:ilvl w:val="0"/>
          <w:numId w:val="6"/>
        </w:numPr>
        <w:spacing w:before="0"/>
        <w:ind w:left="284" w:hanging="284"/>
        <w:rPr>
          <w:rFonts w:ascii="Arial" w:eastAsia="Times New Roman" w:hAnsi="Arial" w:cs="Arial"/>
          <w:sz w:val="20"/>
          <w:szCs w:val="20"/>
        </w:rPr>
      </w:pPr>
      <w:r w:rsidRPr="00F66A93">
        <w:rPr>
          <w:rFonts w:ascii="Arial" w:eastAsia="Times New Roman" w:hAnsi="Arial" w:cs="Arial"/>
          <w:sz w:val="20"/>
          <w:szCs w:val="20"/>
        </w:rPr>
        <w:t xml:space="preserve">Další jednání s EK tzv. </w:t>
      </w:r>
      <w:r w:rsidRPr="00A12A74">
        <w:rPr>
          <w:rFonts w:ascii="Arial" w:eastAsia="Times New Roman" w:hAnsi="Arial" w:cs="Arial"/>
          <w:sz w:val="20"/>
          <w:szCs w:val="20"/>
        </w:rPr>
        <w:t>„</w:t>
      </w:r>
      <w:proofErr w:type="spellStart"/>
      <w:r w:rsidRPr="00A12A74">
        <w:rPr>
          <w:rFonts w:ascii="Arial" w:eastAsia="Times New Roman" w:hAnsi="Arial" w:cs="Arial"/>
          <w:sz w:val="20"/>
          <w:szCs w:val="20"/>
        </w:rPr>
        <w:t>Task</w:t>
      </w:r>
      <w:proofErr w:type="spellEnd"/>
      <w:r w:rsidRPr="00A12A74">
        <w:rPr>
          <w:rFonts w:ascii="Arial" w:eastAsia="Times New Roman" w:hAnsi="Arial" w:cs="Arial"/>
          <w:sz w:val="20"/>
          <w:szCs w:val="20"/>
        </w:rPr>
        <w:t xml:space="preserve"> </w:t>
      </w:r>
      <w:proofErr w:type="spellStart"/>
      <w:r w:rsidRPr="00A12A74">
        <w:rPr>
          <w:rFonts w:ascii="Arial" w:eastAsia="Times New Roman" w:hAnsi="Arial" w:cs="Arial"/>
          <w:sz w:val="20"/>
          <w:szCs w:val="20"/>
        </w:rPr>
        <w:t>Force</w:t>
      </w:r>
      <w:proofErr w:type="spellEnd"/>
      <w:r w:rsidRPr="00A12A74">
        <w:rPr>
          <w:rFonts w:ascii="Arial" w:eastAsia="Times New Roman" w:hAnsi="Arial" w:cs="Arial"/>
          <w:sz w:val="20"/>
          <w:szCs w:val="20"/>
        </w:rPr>
        <w:t>“ proběh</w:t>
      </w:r>
      <w:r w:rsidR="00F94A7A" w:rsidRPr="00A12A74">
        <w:rPr>
          <w:rFonts w:ascii="Arial" w:eastAsia="Times New Roman" w:hAnsi="Arial" w:cs="Arial"/>
          <w:sz w:val="20"/>
          <w:szCs w:val="20"/>
        </w:rPr>
        <w:t>lo</w:t>
      </w:r>
      <w:r w:rsidRPr="00A12A74">
        <w:rPr>
          <w:rFonts w:ascii="Arial" w:eastAsia="Times New Roman" w:hAnsi="Arial" w:cs="Arial"/>
          <w:sz w:val="20"/>
          <w:szCs w:val="20"/>
        </w:rPr>
        <w:t xml:space="preserve"> dne 15. října 2015.</w:t>
      </w:r>
    </w:p>
    <w:p w:rsidR="00F94A7A" w:rsidRDefault="00F94A7A" w:rsidP="00F66A93">
      <w:pPr>
        <w:numPr>
          <w:ilvl w:val="0"/>
          <w:numId w:val="6"/>
        </w:numPr>
        <w:spacing w:before="0"/>
        <w:ind w:left="284" w:hanging="284"/>
        <w:rPr>
          <w:rFonts w:ascii="Arial" w:eastAsia="Times New Roman" w:hAnsi="Arial" w:cs="Arial"/>
          <w:sz w:val="20"/>
          <w:szCs w:val="20"/>
        </w:rPr>
      </w:pPr>
      <w:r>
        <w:rPr>
          <w:rFonts w:ascii="Arial" w:eastAsia="Times New Roman" w:hAnsi="Arial" w:cs="Arial"/>
          <w:sz w:val="20"/>
          <w:szCs w:val="20"/>
        </w:rPr>
        <w:t>Zároveň lze nicméně určitý problém předvídat i v souvislosti s pravděpodobným časovým zpožděním</w:t>
      </w:r>
      <w:r w:rsidR="00BC6530">
        <w:rPr>
          <w:rFonts w:ascii="Arial" w:eastAsia="Times New Roman" w:hAnsi="Arial" w:cs="Arial"/>
          <w:sz w:val="20"/>
          <w:szCs w:val="20"/>
        </w:rPr>
        <w:t xml:space="preserve"> </w:t>
      </w:r>
      <w:r w:rsidR="00632892">
        <w:rPr>
          <w:rFonts w:ascii="Arial" w:eastAsia="Times New Roman" w:hAnsi="Arial" w:cs="Arial"/>
          <w:sz w:val="20"/>
          <w:szCs w:val="20"/>
        </w:rPr>
        <w:t>souvisejícím s </w:t>
      </w:r>
      <w:r w:rsidR="002F771C">
        <w:rPr>
          <w:rFonts w:ascii="Arial" w:eastAsia="Times New Roman" w:hAnsi="Arial" w:cs="Arial"/>
          <w:sz w:val="20"/>
          <w:szCs w:val="20"/>
        </w:rPr>
        <w:t>přijetí</w:t>
      </w:r>
      <w:r w:rsidR="00632892">
        <w:rPr>
          <w:rFonts w:ascii="Arial" w:eastAsia="Times New Roman" w:hAnsi="Arial" w:cs="Arial"/>
          <w:sz w:val="20"/>
          <w:szCs w:val="20"/>
        </w:rPr>
        <w:t>m novely</w:t>
      </w:r>
      <w:r w:rsidR="002F771C">
        <w:rPr>
          <w:rFonts w:ascii="Arial" w:eastAsia="Times New Roman" w:hAnsi="Arial" w:cs="Arial"/>
          <w:sz w:val="20"/>
          <w:szCs w:val="20"/>
        </w:rPr>
        <w:t xml:space="preserve"> zákona č.</w:t>
      </w:r>
      <w:r w:rsidR="00632892">
        <w:rPr>
          <w:rFonts w:ascii="Arial" w:eastAsia="Times New Roman" w:hAnsi="Arial" w:cs="Arial"/>
          <w:sz w:val="20"/>
          <w:szCs w:val="20"/>
        </w:rPr>
        <w:t>47/2002, o malém a středním podnikání</w:t>
      </w:r>
      <w:r w:rsidR="002F465E">
        <w:rPr>
          <w:rFonts w:ascii="Arial" w:eastAsia="Times New Roman" w:hAnsi="Arial" w:cs="Arial"/>
          <w:sz w:val="20"/>
          <w:szCs w:val="20"/>
        </w:rPr>
        <w:t>,</w:t>
      </w:r>
      <w:r w:rsidR="002F771C">
        <w:rPr>
          <w:rFonts w:ascii="Arial" w:eastAsia="Times New Roman" w:hAnsi="Arial" w:cs="Arial"/>
          <w:sz w:val="20"/>
          <w:szCs w:val="20"/>
        </w:rPr>
        <w:t xml:space="preserve"> kterým má být zřízena Agentura</w:t>
      </w:r>
      <w:r w:rsidR="00632892">
        <w:rPr>
          <w:rFonts w:ascii="Arial" w:eastAsia="Times New Roman" w:hAnsi="Arial" w:cs="Arial"/>
          <w:sz w:val="20"/>
          <w:szCs w:val="20"/>
        </w:rPr>
        <w:t xml:space="preserve"> pro podnikání a inovace</w:t>
      </w:r>
      <w:r w:rsidR="002F771C">
        <w:rPr>
          <w:rFonts w:ascii="Arial" w:eastAsia="Times New Roman" w:hAnsi="Arial" w:cs="Arial"/>
          <w:sz w:val="20"/>
          <w:szCs w:val="20"/>
        </w:rPr>
        <w:t>, jež má administrovat čerpání z fondů ESI.</w:t>
      </w:r>
    </w:p>
    <w:p w:rsidR="00CB309B" w:rsidRPr="00F66A93" w:rsidRDefault="00CB309B" w:rsidP="00F66A93">
      <w:pPr>
        <w:numPr>
          <w:ilvl w:val="0"/>
          <w:numId w:val="6"/>
        </w:numPr>
        <w:spacing w:before="0"/>
        <w:ind w:left="284" w:hanging="284"/>
        <w:rPr>
          <w:rFonts w:ascii="Arial" w:eastAsia="Times New Roman" w:hAnsi="Arial" w:cs="Arial"/>
          <w:sz w:val="20"/>
          <w:szCs w:val="20"/>
        </w:rPr>
      </w:pPr>
      <w:r>
        <w:rPr>
          <w:rFonts w:ascii="Arial" w:eastAsia="Times New Roman" w:hAnsi="Arial" w:cs="Arial"/>
          <w:sz w:val="20"/>
          <w:szCs w:val="20"/>
        </w:rPr>
        <w:t xml:space="preserve">V rámci plnění předběžné podmínky bylo splněno kritérium akčního plánu k PP </w:t>
      </w:r>
      <w:r w:rsidR="008F2810">
        <w:rPr>
          <w:rFonts w:ascii="Arial" w:eastAsia="Times New Roman" w:hAnsi="Arial" w:cs="Arial"/>
          <w:sz w:val="20"/>
          <w:szCs w:val="20"/>
        </w:rPr>
        <w:t>11</w:t>
      </w:r>
      <w:r w:rsidR="00823213">
        <w:rPr>
          <w:rFonts w:ascii="Arial" w:eastAsia="Times New Roman" w:hAnsi="Arial" w:cs="Arial"/>
          <w:sz w:val="20"/>
          <w:szCs w:val="20"/>
        </w:rPr>
        <w:t>, které</w:t>
      </w:r>
      <w:r w:rsidR="00813BA4">
        <w:rPr>
          <w:rFonts w:ascii="Arial" w:eastAsia="Times New Roman" w:hAnsi="Arial" w:cs="Arial"/>
          <w:sz w:val="20"/>
          <w:szCs w:val="20"/>
        </w:rPr>
        <w:t> </w:t>
      </w:r>
      <w:r w:rsidR="00823213">
        <w:rPr>
          <w:rFonts w:ascii="Arial" w:eastAsia="Times New Roman" w:hAnsi="Arial" w:cs="Arial"/>
          <w:sz w:val="20"/>
          <w:szCs w:val="20"/>
        </w:rPr>
        <w:t xml:space="preserve">vypracovává a provádí strategie a politiky v oblasti lidských zdrojů. </w:t>
      </w:r>
      <w:r w:rsidR="008F2810">
        <w:rPr>
          <w:rFonts w:ascii="Arial" w:eastAsia="Times New Roman" w:hAnsi="Arial" w:cs="Arial"/>
          <w:sz w:val="20"/>
          <w:szCs w:val="20"/>
        </w:rPr>
        <w:t xml:space="preserve"> </w:t>
      </w:r>
    </w:p>
    <w:p w:rsidR="006D509B" w:rsidRPr="001414DB" w:rsidRDefault="006D509B" w:rsidP="00F66A93">
      <w:pPr>
        <w:pStyle w:val="Nadpis1"/>
        <w:numPr>
          <w:ilvl w:val="0"/>
          <w:numId w:val="0"/>
        </w:numPr>
        <w:ind w:left="432" w:hanging="432"/>
        <w:rPr>
          <w:sz w:val="20"/>
          <w:szCs w:val="20"/>
        </w:rPr>
      </w:pPr>
    </w:p>
    <w:sectPr w:rsidR="006D509B" w:rsidRPr="001414DB" w:rsidSect="001330C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0A8" w:rsidRDefault="00DF70A8" w:rsidP="009D4DEB">
      <w:pPr>
        <w:spacing w:before="0" w:line="240" w:lineRule="auto"/>
      </w:pPr>
      <w:r>
        <w:separator/>
      </w:r>
    </w:p>
  </w:endnote>
  <w:endnote w:type="continuationSeparator" w:id="0">
    <w:p w:rsidR="00DF70A8" w:rsidRDefault="00DF70A8" w:rsidP="009D4DEB">
      <w:pPr>
        <w:spacing w:before="0" w:line="240" w:lineRule="auto"/>
      </w:pPr>
      <w:r>
        <w:continuationSeparator/>
      </w:r>
    </w:p>
  </w:endnote>
  <w:endnote w:type="continuationNotice" w:id="1">
    <w:p w:rsidR="00DF70A8" w:rsidRDefault="00DF70A8">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97646"/>
      <w:docPartObj>
        <w:docPartGallery w:val="Page Numbers (Bottom of Page)"/>
        <w:docPartUnique/>
      </w:docPartObj>
    </w:sdtPr>
    <w:sdtEndPr>
      <w:rPr>
        <w:rFonts w:ascii="Arial" w:hAnsi="Arial" w:cs="Arial"/>
      </w:rPr>
    </w:sdtEndPr>
    <w:sdtContent>
      <w:p w:rsidR="0082540E" w:rsidRPr="0089063A" w:rsidRDefault="00FB0F56">
        <w:pPr>
          <w:pStyle w:val="Zpat"/>
          <w:jc w:val="center"/>
          <w:rPr>
            <w:rFonts w:ascii="Arial" w:hAnsi="Arial" w:cs="Arial"/>
          </w:rPr>
        </w:pPr>
        <w:r w:rsidRPr="0089063A">
          <w:rPr>
            <w:rFonts w:ascii="Arial" w:hAnsi="Arial" w:cs="Arial"/>
          </w:rPr>
          <w:fldChar w:fldCharType="begin"/>
        </w:r>
        <w:r w:rsidR="0082540E" w:rsidRPr="0089063A">
          <w:rPr>
            <w:rFonts w:ascii="Arial" w:hAnsi="Arial" w:cs="Arial"/>
          </w:rPr>
          <w:instrText xml:space="preserve"> PAGE   \* MERGEFORMAT </w:instrText>
        </w:r>
        <w:r w:rsidRPr="0089063A">
          <w:rPr>
            <w:rFonts w:ascii="Arial" w:hAnsi="Arial" w:cs="Arial"/>
          </w:rPr>
          <w:fldChar w:fldCharType="separate"/>
        </w:r>
        <w:r w:rsidR="00BD1872">
          <w:rPr>
            <w:rFonts w:ascii="Arial" w:hAnsi="Arial" w:cs="Arial"/>
            <w:noProof/>
          </w:rPr>
          <w:t>12</w:t>
        </w:r>
        <w:r w:rsidRPr="0089063A">
          <w:rPr>
            <w:rFonts w:ascii="Arial" w:hAnsi="Arial" w:cs="Arial"/>
            <w:noProof/>
          </w:rPr>
          <w:fldChar w:fldCharType="end"/>
        </w:r>
      </w:p>
    </w:sdtContent>
  </w:sdt>
  <w:p w:rsidR="0082540E" w:rsidRDefault="0082540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0A8" w:rsidRDefault="00DF70A8" w:rsidP="009D4DEB">
      <w:pPr>
        <w:spacing w:before="0" w:line="240" w:lineRule="auto"/>
      </w:pPr>
      <w:r>
        <w:separator/>
      </w:r>
    </w:p>
  </w:footnote>
  <w:footnote w:type="continuationSeparator" w:id="0">
    <w:p w:rsidR="00DF70A8" w:rsidRDefault="00DF70A8" w:rsidP="009D4DEB">
      <w:pPr>
        <w:spacing w:before="0" w:line="240" w:lineRule="auto"/>
      </w:pPr>
      <w:r>
        <w:continuationSeparator/>
      </w:r>
    </w:p>
  </w:footnote>
  <w:footnote w:type="continuationNotice" w:id="1">
    <w:p w:rsidR="00DF70A8" w:rsidRDefault="00DF70A8">
      <w:pPr>
        <w:spacing w:before="0" w:line="240" w:lineRule="auto"/>
      </w:pPr>
    </w:p>
  </w:footnote>
  <w:footnote w:id="2">
    <w:p w:rsidR="0082540E" w:rsidRDefault="0082540E" w:rsidP="00F66A93">
      <w:pPr>
        <w:pStyle w:val="Textpoznpodarou"/>
      </w:pPr>
      <w:r w:rsidRPr="007C2447">
        <w:rPr>
          <w:rStyle w:val="Znakapoznpodarou"/>
          <w:rFonts w:ascii="Arial" w:hAnsi="Arial" w:cs="Arial"/>
          <w:sz w:val="16"/>
          <w:szCs w:val="16"/>
        </w:rPr>
        <w:footnoteRef/>
      </w:r>
      <w:r w:rsidRPr="007C2447">
        <w:rPr>
          <w:rFonts w:ascii="Arial" w:hAnsi="Arial" w:cs="Arial"/>
          <w:sz w:val="16"/>
          <w:szCs w:val="16"/>
        </w:rPr>
        <w:t xml:space="preserve"> I předběžných podmínek 7.1. až 7.3. by mělo dojít k procentuálnímu navýšení plnění. MD v tuto chvíli zaslalo předmětnou analýzu administrativních kapacit na MMR a v tuto chvíli probíhá komunikace na pracovní úrovni k její podobě. Následně bude zaslána na EK.</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9DA"/>
    <w:multiLevelType w:val="hybridMultilevel"/>
    <w:tmpl w:val="0A78EF2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9BD3E36"/>
    <w:multiLevelType w:val="hybridMultilevel"/>
    <w:tmpl w:val="6E565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A6447"/>
    <w:multiLevelType w:val="hybridMultilevel"/>
    <w:tmpl w:val="786672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90113"/>
    <w:multiLevelType w:val="hybridMultilevel"/>
    <w:tmpl w:val="E66C4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36513D"/>
    <w:multiLevelType w:val="hybridMultilevel"/>
    <w:tmpl w:val="A36CD22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0C2854"/>
    <w:multiLevelType w:val="hybridMultilevel"/>
    <w:tmpl w:val="98B276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E1460C"/>
    <w:multiLevelType w:val="hybridMultilevel"/>
    <w:tmpl w:val="1A0CC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0767F56"/>
    <w:multiLevelType w:val="multilevel"/>
    <w:tmpl w:val="6942A6BE"/>
    <w:lvl w:ilvl="0">
      <w:start w:val="1"/>
      <w:numFmt w:val="decimal"/>
      <w:pStyle w:val="List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7B3246"/>
    <w:multiLevelType w:val="hybridMultilevel"/>
    <w:tmpl w:val="DB20103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DB0E21"/>
    <w:multiLevelType w:val="hybridMultilevel"/>
    <w:tmpl w:val="9A984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687594"/>
    <w:multiLevelType w:val="hybridMultilevel"/>
    <w:tmpl w:val="E9283BBC"/>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1">
    <w:nsid w:val="31083041"/>
    <w:multiLevelType w:val="hybridMultilevel"/>
    <w:tmpl w:val="CB96C034"/>
    <w:lvl w:ilvl="0" w:tplc="8BBE9D34">
      <w:start w:val="1"/>
      <w:numFmt w:val="lowerLetter"/>
      <w:pStyle w:val="Se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2731141"/>
    <w:multiLevelType w:val="hybridMultilevel"/>
    <w:tmpl w:val="4042997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DD085C"/>
    <w:multiLevelType w:val="hybridMultilevel"/>
    <w:tmpl w:val="D0B07C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52E6DA9"/>
    <w:multiLevelType w:val="hybridMultilevel"/>
    <w:tmpl w:val="7722E3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626B98"/>
    <w:multiLevelType w:val="hybridMultilevel"/>
    <w:tmpl w:val="300ED3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4000793B"/>
    <w:multiLevelType w:val="multilevel"/>
    <w:tmpl w:val="AE64B5FE"/>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nsid w:val="43554A00"/>
    <w:multiLevelType w:val="hybridMultilevel"/>
    <w:tmpl w:val="FC76E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9AA3036"/>
    <w:multiLevelType w:val="hybridMultilevel"/>
    <w:tmpl w:val="AC8293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B357D0D"/>
    <w:multiLevelType w:val="hybridMultilevel"/>
    <w:tmpl w:val="59AEB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D71208D"/>
    <w:multiLevelType w:val="hybridMultilevel"/>
    <w:tmpl w:val="FA04ED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1556925"/>
    <w:multiLevelType w:val="hybridMultilevel"/>
    <w:tmpl w:val="4C12CF2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1">
      <w:start w:val="1"/>
      <w:numFmt w:val="bullet"/>
      <w:lvlText w:val=""/>
      <w:lvlJc w:val="left"/>
      <w:pPr>
        <w:ind w:left="2444" w:hanging="360"/>
      </w:pPr>
      <w:rPr>
        <w:rFonts w:ascii="Symbol" w:hAnsi="Symbol"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5FA51824"/>
    <w:multiLevelType w:val="hybridMultilevel"/>
    <w:tmpl w:val="8CB8F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7310F17"/>
    <w:multiLevelType w:val="hybridMultilevel"/>
    <w:tmpl w:val="146E2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EBD25E3"/>
    <w:multiLevelType w:val="multilevel"/>
    <w:tmpl w:val="471EB360"/>
    <w:styleLink w:val="List1"/>
    <w:lvl w:ilvl="0">
      <w:start w:val="1"/>
      <w:numFmt w:val="decimal"/>
      <w:lvlText w:val="%1)"/>
      <w:lvlJc w:val="left"/>
      <w:pPr>
        <w:tabs>
          <w:tab w:val="num" w:pos="425"/>
        </w:tabs>
        <w:ind w:left="425" w:hanging="357"/>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5">
    <w:nsid w:val="72CA7A23"/>
    <w:multiLevelType w:val="hybridMultilevel"/>
    <w:tmpl w:val="2182CFA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6">
    <w:nsid w:val="7344385F"/>
    <w:multiLevelType w:val="hybridMultilevel"/>
    <w:tmpl w:val="9A2E5D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4"/>
  </w:num>
  <w:num w:numId="4">
    <w:abstractNumId w:val="0"/>
  </w:num>
  <w:num w:numId="5">
    <w:abstractNumId w:val="13"/>
  </w:num>
  <w:num w:numId="6">
    <w:abstractNumId w:val="26"/>
  </w:num>
  <w:num w:numId="7">
    <w:abstractNumId w:val="21"/>
  </w:num>
  <w:num w:numId="8">
    <w:abstractNumId w:val="16"/>
  </w:num>
  <w:num w:numId="9">
    <w:abstractNumId w:val="10"/>
  </w:num>
  <w:num w:numId="10">
    <w:abstractNumId w:val="3"/>
  </w:num>
  <w:num w:numId="11">
    <w:abstractNumId w:val="19"/>
  </w:num>
  <w:num w:numId="12">
    <w:abstractNumId w:val="12"/>
  </w:num>
  <w:num w:numId="13">
    <w:abstractNumId w:val="5"/>
  </w:num>
  <w:num w:numId="14">
    <w:abstractNumId w:val="14"/>
  </w:num>
  <w:num w:numId="15">
    <w:abstractNumId w:val="18"/>
  </w:num>
  <w:num w:numId="16">
    <w:abstractNumId w:val="4"/>
  </w:num>
  <w:num w:numId="17">
    <w:abstractNumId w:val="2"/>
  </w:num>
  <w:num w:numId="18">
    <w:abstractNumId w:val="20"/>
  </w:num>
  <w:num w:numId="19">
    <w:abstractNumId w:val="8"/>
  </w:num>
  <w:num w:numId="20">
    <w:abstractNumId w:val="25"/>
  </w:num>
  <w:num w:numId="21">
    <w:abstractNumId w:val="1"/>
  </w:num>
  <w:num w:numId="22">
    <w:abstractNumId w:val="17"/>
  </w:num>
  <w:num w:numId="23">
    <w:abstractNumId w:val="23"/>
  </w:num>
  <w:num w:numId="24">
    <w:abstractNumId w:val="22"/>
  </w:num>
  <w:num w:numId="25">
    <w:abstractNumId w:val="15"/>
  </w:num>
  <w:num w:numId="26">
    <w:abstractNumId w:val="6"/>
  </w:num>
  <w:num w:numId="27">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8C3219"/>
    <w:rsid w:val="00000647"/>
    <w:rsid w:val="000015D0"/>
    <w:rsid w:val="00002A66"/>
    <w:rsid w:val="00004C16"/>
    <w:rsid w:val="00007602"/>
    <w:rsid w:val="00007912"/>
    <w:rsid w:val="00011055"/>
    <w:rsid w:val="00013349"/>
    <w:rsid w:val="0001365E"/>
    <w:rsid w:val="000143B4"/>
    <w:rsid w:val="000144C8"/>
    <w:rsid w:val="00014941"/>
    <w:rsid w:val="00014FD2"/>
    <w:rsid w:val="000160DA"/>
    <w:rsid w:val="000209E5"/>
    <w:rsid w:val="00021465"/>
    <w:rsid w:val="0002206E"/>
    <w:rsid w:val="00023827"/>
    <w:rsid w:val="00023E2E"/>
    <w:rsid w:val="00024BF7"/>
    <w:rsid w:val="00025A9D"/>
    <w:rsid w:val="00027478"/>
    <w:rsid w:val="000279EC"/>
    <w:rsid w:val="00027EA4"/>
    <w:rsid w:val="00030014"/>
    <w:rsid w:val="0003082D"/>
    <w:rsid w:val="000317DA"/>
    <w:rsid w:val="00033326"/>
    <w:rsid w:val="000335AF"/>
    <w:rsid w:val="0003440E"/>
    <w:rsid w:val="00034AFA"/>
    <w:rsid w:val="00035000"/>
    <w:rsid w:val="00035E9D"/>
    <w:rsid w:val="000363C1"/>
    <w:rsid w:val="00037848"/>
    <w:rsid w:val="0004116D"/>
    <w:rsid w:val="00042490"/>
    <w:rsid w:val="000425D4"/>
    <w:rsid w:val="00042924"/>
    <w:rsid w:val="00045B16"/>
    <w:rsid w:val="0004609D"/>
    <w:rsid w:val="0004703A"/>
    <w:rsid w:val="000472C7"/>
    <w:rsid w:val="00050711"/>
    <w:rsid w:val="00051E49"/>
    <w:rsid w:val="0005231A"/>
    <w:rsid w:val="0005245D"/>
    <w:rsid w:val="00052AB6"/>
    <w:rsid w:val="00053B22"/>
    <w:rsid w:val="00053BB2"/>
    <w:rsid w:val="00054495"/>
    <w:rsid w:val="00055265"/>
    <w:rsid w:val="0005612C"/>
    <w:rsid w:val="00056875"/>
    <w:rsid w:val="000569AF"/>
    <w:rsid w:val="0006073B"/>
    <w:rsid w:val="00061E6F"/>
    <w:rsid w:val="00062136"/>
    <w:rsid w:val="00063D89"/>
    <w:rsid w:val="00064876"/>
    <w:rsid w:val="00065049"/>
    <w:rsid w:val="0006598F"/>
    <w:rsid w:val="000665E4"/>
    <w:rsid w:val="000667E9"/>
    <w:rsid w:val="0006705E"/>
    <w:rsid w:val="0006758C"/>
    <w:rsid w:val="00070218"/>
    <w:rsid w:val="000716F1"/>
    <w:rsid w:val="000722F6"/>
    <w:rsid w:val="00072829"/>
    <w:rsid w:val="0007350D"/>
    <w:rsid w:val="00073BCD"/>
    <w:rsid w:val="00074D6F"/>
    <w:rsid w:val="00075F76"/>
    <w:rsid w:val="00076C26"/>
    <w:rsid w:val="00076DE4"/>
    <w:rsid w:val="00077C85"/>
    <w:rsid w:val="00080DAD"/>
    <w:rsid w:val="00081FB3"/>
    <w:rsid w:val="00082124"/>
    <w:rsid w:val="00083B1D"/>
    <w:rsid w:val="00085978"/>
    <w:rsid w:val="00085CC8"/>
    <w:rsid w:val="00086404"/>
    <w:rsid w:val="000871A9"/>
    <w:rsid w:val="00087521"/>
    <w:rsid w:val="00087961"/>
    <w:rsid w:val="00090013"/>
    <w:rsid w:val="00090789"/>
    <w:rsid w:val="000912DA"/>
    <w:rsid w:val="000926A5"/>
    <w:rsid w:val="00093E82"/>
    <w:rsid w:val="00094784"/>
    <w:rsid w:val="00094A37"/>
    <w:rsid w:val="00095008"/>
    <w:rsid w:val="0009635F"/>
    <w:rsid w:val="000966CE"/>
    <w:rsid w:val="00096FBC"/>
    <w:rsid w:val="000976E3"/>
    <w:rsid w:val="000A0446"/>
    <w:rsid w:val="000A0658"/>
    <w:rsid w:val="000A06F9"/>
    <w:rsid w:val="000A0D7C"/>
    <w:rsid w:val="000A102F"/>
    <w:rsid w:val="000A4B34"/>
    <w:rsid w:val="000A4D89"/>
    <w:rsid w:val="000A51D0"/>
    <w:rsid w:val="000A7794"/>
    <w:rsid w:val="000B0118"/>
    <w:rsid w:val="000B08DC"/>
    <w:rsid w:val="000B1AEB"/>
    <w:rsid w:val="000B3FD9"/>
    <w:rsid w:val="000B4A10"/>
    <w:rsid w:val="000B4C88"/>
    <w:rsid w:val="000B586C"/>
    <w:rsid w:val="000B5993"/>
    <w:rsid w:val="000B5A42"/>
    <w:rsid w:val="000B696F"/>
    <w:rsid w:val="000B6BFB"/>
    <w:rsid w:val="000B7800"/>
    <w:rsid w:val="000C0239"/>
    <w:rsid w:val="000C0727"/>
    <w:rsid w:val="000C0FAA"/>
    <w:rsid w:val="000C10A6"/>
    <w:rsid w:val="000C1C63"/>
    <w:rsid w:val="000C1EE3"/>
    <w:rsid w:val="000C46ED"/>
    <w:rsid w:val="000C5C01"/>
    <w:rsid w:val="000C657D"/>
    <w:rsid w:val="000C714C"/>
    <w:rsid w:val="000C763E"/>
    <w:rsid w:val="000D0C1D"/>
    <w:rsid w:val="000D0F5C"/>
    <w:rsid w:val="000D103B"/>
    <w:rsid w:val="000D21FB"/>
    <w:rsid w:val="000D2BA9"/>
    <w:rsid w:val="000D2E23"/>
    <w:rsid w:val="000D38FC"/>
    <w:rsid w:val="000D562B"/>
    <w:rsid w:val="000D691A"/>
    <w:rsid w:val="000E035C"/>
    <w:rsid w:val="000E044D"/>
    <w:rsid w:val="000E0C2F"/>
    <w:rsid w:val="000E0EF7"/>
    <w:rsid w:val="000E1512"/>
    <w:rsid w:val="000E22BF"/>
    <w:rsid w:val="000E3006"/>
    <w:rsid w:val="000E3253"/>
    <w:rsid w:val="000E3AFC"/>
    <w:rsid w:val="000E6E42"/>
    <w:rsid w:val="000E72E3"/>
    <w:rsid w:val="000F049B"/>
    <w:rsid w:val="000F0DAC"/>
    <w:rsid w:val="000F2A99"/>
    <w:rsid w:val="000F2CA1"/>
    <w:rsid w:val="000F3490"/>
    <w:rsid w:val="000F3A48"/>
    <w:rsid w:val="000F5970"/>
    <w:rsid w:val="000F69A3"/>
    <w:rsid w:val="000F7573"/>
    <w:rsid w:val="000F79FC"/>
    <w:rsid w:val="000F7E92"/>
    <w:rsid w:val="001005D5"/>
    <w:rsid w:val="001007F9"/>
    <w:rsid w:val="00100EF1"/>
    <w:rsid w:val="00101E5B"/>
    <w:rsid w:val="0010255B"/>
    <w:rsid w:val="00102B48"/>
    <w:rsid w:val="00103592"/>
    <w:rsid w:val="0010410B"/>
    <w:rsid w:val="001068C0"/>
    <w:rsid w:val="0010737A"/>
    <w:rsid w:val="00107577"/>
    <w:rsid w:val="001106C4"/>
    <w:rsid w:val="00110F75"/>
    <w:rsid w:val="00111A0B"/>
    <w:rsid w:val="00111A92"/>
    <w:rsid w:val="00112089"/>
    <w:rsid w:val="00114E5C"/>
    <w:rsid w:val="001201BC"/>
    <w:rsid w:val="001216A1"/>
    <w:rsid w:val="0012175C"/>
    <w:rsid w:val="00121A15"/>
    <w:rsid w:val="00121D24"/>
    <w:rsid w:val="00123789"/>
    <w:rsid w:val="00123D3D"/>
    <w:rsid w:val="001240A1"/>
    <w:rsid w:val="00124529"/>
    <w:rsid w:val="0012499F"/>
    <w:rsid w:val="00125735"/>
    <w:rsid w:val="00125754"/>
    <w:rsid w:val="00125853"/>
    <w:rsid w:val="001260C9"/>
    <w:rsid w:val="00126CF2"/>
    <w:rsid w:val="001270D4"/>
    <w:rsid w:val="00127F40"/>
    <w:rsid w:val="0013016B"/>
    <w:rsid w:val="00132493"/>
    <w:rsid w:val="00132DF7"/>
    <w:rsid w:val="001330C8"/>
    <w:rsid w:val="00135E05"/>
    <w:rsid w:val="00135E73"/>
    <w:rsid w:val="0013660B"/>
    <w:rsid w:val="00136ECE"/>
    <w:rsid w:val="00137538"/>
    <w:rsid w:val="001414DB"/>
    <w:rsid w:val="0014171B"/>
    <w:rsid w:val="00141C76"/>
    <w:rsid w:val="00143B70"/>
    <w:rsid w:val="00146535"/>
    <w:rsid w:val="00146D71"/>
    <w:rsid w:val="0014796D"/>
    <w:rsid w:val="00153AA0"/>
    <w:rsid w:val="0015475C"/>
    <w:rsid w:val="00154C56"/>
    <w:rsid w:val="00154C84"/>
    <w:rsid w:val="001557A4"/>
    <w:rsid w:val="00155991"/>
    <w:rsid w:val="00155D9A"/>
    <w:rsid w:val="00156FBD"/>
    <w:rsid w:val="00157143"/>
    <w:rsid w:val="0016189E"/>
    <w:rsid w:val="00162E26"/>
    <w:rsid w:val="001635A1"/>
    <w:rsid w:val="00163995"/>
    <w:rsid w:val="001653CC"/>
    <w:rsid w:val="0016567B"/>
    <w:rsid w:val="00167594"/>
    <w:rsid w:val="00170F50"/>
    <w:rsid w:val="001713F8"/>
    <w:rsid w:val="00173652"/>
    <w:rsid w:val="00174C24"/>
    <w:rsid w:val="0017528D"/>
    <w:rsid w:val="00175417"/>
    <w:rsid w:val="00175428"/>
    <w:rsid w:val="00175A07"/>
    <w:rsid w:val="00176479"/>
    <w:rsid w:val="00176B89"/>
    <w:rsid w:val="00176FE1"/>
    <w:rsid w:val="001778D9"/>
    <w:rsid w:val="001804E2"/>
    <w:rsid w:val="001806D8"/>
    <w:rsid w:val="00182795"/>
    <w:rsid w:val="00182CF7"/>
    <w:rsid w:val="00182E6C"/>
    <w:rsid w:val="00184425"/>
    <w:rsid w:val="00184495"/>
    <w:rsid w:val="001859DA"/>
    <w:rsid w:val="001870D9"/>
    <w:rsid w:val="00190494"/>
    <w:rsid w:val="001922DE"/>
    <w:rsid w:val="0019389C"/>
    <w:rsid w:val="0019395F"/>
    <w:rsid w:val="00194127"/>
    <w:rsid w:val="0019453E"/>
    <w:rsid w:val="00194B00"/>
    <w:rsid w:val="0019582F"/>
    <w:rsid w:val="001A03C9"/>
    <w:rsid w:val="001A06B1"/>
    <w:rsid w:val="001A0AD3"/>
    <w:rsid w:val="001A3642"/>
    <w:rsid w:val="001A3C5F"/>
    <w:rsid w:val="001A74B8"/>
    <w:rsid w:val="001A796C"/>
    <w:rsid w:val="001A7D1B"/>
    <w:rsid w:val="001B09DD"/>
    <w:rsid w:val="001B4CD2"/>
    <w:rsid w:val="001B646B"/>
    <w:rsid w:val="001B70A2"/>
    <w:rsid w:val="001C06A9"/>
    <w:rsid w:val="001C1121"/>
    <w:rsid w:val="001C11B0"/>
    <w:rsid w:val="001C188C"/>
    <w:rsid w:val="001C276E"/>
    <w:rsid w:val="001C285C"/>
    <w:rsid w:val="001C3677"/>
    <w:rsid w:val="001C49F3"/>
    <w:rsid w:val="001C5122"/>
    <w:rsid w:val="001C6AD6"/>
    <w:rsid w:val="001C6C6E"/>
    <w:rsid w:val="001C6DCA"/>
    <w:rsid w:val="001C7D8A"/>
    <w:rsid w:val="001C7E46"/>
    <w:rsid w:val="001D01E2"/>
    <w:rsid w:val="001D033C"/>
    <w:rsid w:val="001D149A"/>
    <w:rsid w:val="001D2A46"/>
    <w:rsid w:val="001D316F"/>
    <w:rsid w:val="001D35AD"/>
    <w:rsid w:val="001D3AA1"/>
    <w:rsid w:val="001D4B08"/>
    <w:rsid w:val="001D70F8"/>
    <w:rsid w:val="001D7A52"/>
    <w:rsid w:val="001E029C"/>
    <w:rsid w:val="001E0A91"/>
    <w:rsid w:val="001E0D96"/>
    <w:rsid w:val="001E0ED3"/>
    <w:rsid w:val="001E1D7F"/>
    <w:rsid w:val="001E1FBC"/>
    <w:rsid w:val="001E3A15"/>
    <w:rsid w:val="001E3F9E"/>
    <w:rsid w:val="001E5A4D"/>
    <w:rsid w:val="001E6B72"/>
    <w:rsid w:val="001F0A42"/>
    <w:rsid w:val="001F0F3B"/>
    <w:rsid w:val="001F1B4B"/>
    <w:rsid w:val="001F1F14"/>
    <w:rsid w:val="001F20D9"/>
    <w:rsid w:val="001F2910"/>
    <w:rsid w:val="001F3778"/>
    <w:rsid w:val="001F3FBC"/>
    <w:rsid w:val="001F4579"/>
    <w:rsid w:val="001F45B4"/>
    <w:rsid w:val="001F5EDD"/>
    <w:rsid w:val="001F67A7"/>
    <w:rsid w:val="001F7330"/>
    <w:rsid w:val="001F7892"/>
    <w:rsid w:val="001F7A57"/>
    <w:rsid w:val="0020279F"/>
    <w:rsid w:val="002027F8"/>
    <w:rsid w:val="00202D7C"/>
    <w:rsid w:val="00202DB5"/>
    <w:rsid w:val="00206D37"/>
    <w:rsid w:val="002074D3"/>
    <w:rsid w:val="0020784D"/>
    <w:rsid w:val="002104AF"/>
    <w:rsid w:val="00211041"/>
    <w:rsid w:val="0021131B"/>
    <w:rsid w:val="00211561"/>
    <w:rsid w:val="002118A4"/>
    <w:rsid w:val="002120C4"/>
    <w:rsid w:val="00212896"/>
    <w:rsid w:val="0021290D"/>
    <w:rsid w:val="002135A0"/>
    <w:rsid w:val="00213B3E"/>
    <w:rsid w:val="00215F5D"/>
    <w:rsid w:val="00217F7C"/>
    <w:rsid w:val="00221777"/>
    <w:rsid w:val="0022184C"/>
    <w:rsid w:val="002228A0"/>
    <w:rsid w:val="00222D8C"/>
    <w:rsid w:val="0022352B"/>
    <w:rsid w:val="00225D7D"/>
    <w:rsid w:val="0022749A"/>
    <w:rsid w:val="002277AD"/>
    <w:rsid w:val="0023286C"/>
    <w:rsid w:val="00233745"/>
    <w:rsid w:val="00233C30"/>
    <w:rsid w:val="00233C8B"/>
    <w:rsid w:val="00233EF5"/>
    <w:rsid w:val="002343AC"/>
    <w:rsid w:val="002377EB"/>
    <w:rsid w:val="002379CC"/>
    <w:rsid w:val="002400D7"/>
    <w:rsid w:val="00241558"/>
    <w:rsid w:val="00241948"/>
    <w:rsid w:val="00241D04"/>
    <w:rsid w:val="00242104"/>
    <w:rsid w:val="00243DE3"/>
    <w:rsid w:val="00244E73"/>
    <w:rsid w:val="0024521A"/>
    <w:rsid w:val="002460C9"/>
    <w:rsid w:val="0024654D"/>
    <w:rsid w:val="00246ECC"/>
    <w:rsid w:val="00247DEA"/>
    <w:rsid w:val="00250007"/>
    <w:rsid w:val="0025023E"/>
    <w:rsid w:val="002519D7"/>
    <w:rsid w:val="0025280A"/>
    <w:rsid w:val="00252886"/>
    <w:rsid w:val="00254B0B"/>
    <w:rsid w:val="0025569E"/>
    <w:rsid w:val="00255ED3"/>
    <w:rsid w:val="00256A91"/>
    <w:rsid w:val="00256D19"/>
    <w:rsid w:val="002578AE"/>
    <w:rsid w:val="00257CE4"/>
    <w:rsid w:val="00261C4D"/>
    <w:rsid w:val="0026206A"/>
    <w:rsid w:val="00263034"/>
    <w:rsid w:val="002642CC"/>
    <w:rsid w:val="002643AA"/>
    <w:rsid w:val="00265679"/>
    <w:rsid w:val="00266E99"/>
    <w:rsid w:val="0026755A"/>
    <w:rsid w:val="002709FB"/>
    <w:rsid w:val="00270B73"/>
    <w:rsid w:val="00270EB8"/>
    <w:rsid w:val="002714C4"/>
    <w:rsid w:val="002722F9"/>
    <w:rsid w:val="00272863"/>
    <w:rsid w:val="0027336C"/>
    <w:rsid w:val="002739F0"/>
    <w:rsid w:val="002747A3"/>
    <w:rsid w:val="002801E1"/>
    <w:rsid w:val="0028021C"/>
    <w:rsid w:val="00280D43"/>
    <w:rsid w:val="00280FDC"/>
    <w:rsid w:val="00281AA5"/>
    <w:rsid w:val="00281FBD"/>
    <w:rsid w:val="00283091"/>
    <w:rsid w:val="002836D3"/>
    <w:rsid w:val="002850D8"/>
    <w:rsid w:val="002856F6"/>
    <w:rsid w:val="0028791C"/>
    <w:rsid w:val="00287A66"/>
    <w:rsid w:val="00287FE2"/>
    <w:rsid w:val="00290E91"/>
    <w:rsid w:val="00291E95"/>
    <w:rsid w:val="00291E9A"/>
    <w:rsid w:val="00293780"/>
    <w:rsid w:val="0029566A"/>
    <w:rsid w:val="00297B67"/>
    <w:rsid w:val="00297EB2"/>
    <w:rsid w:val="002A1442"/>
    <w:rsid w:val="002A1ED9"/>
    <w:rsid w:val="002A2825"/>
    <w:rsid w:val="002A29BE"/>
    <w:rsid w:val="002A3B8E"/>
    <w:rsid w:val="002A3C19"/>
    <w:rsid w:val="002A5454"/>
    <w:rsid w:val="002A56A3"/>
    <w:rsid w:val="002A6D86"/>
    <w:rsid w:val="002A71F4"/>
    <w:rsid w:val="002A7B39"/>
    <w:rsid w:val="002B3187"/>
    <w:rsid w:val="002B37F0"/>
    <w:rsid w:val="002B58B4"/>
    <w:rsid w:val="002B62FD"/>
    <w:rsid w:val="002B7096"/>
    <w:rsid w:val="002B7CE4"/>
    <w:rsid w:val="002C2678"/>
    <w:rsid w:val="002C41AB"/>
    <w:rsid w:val="002C43F2"/>
    <w:rsid w:val="002C6BCE"/>
    <w:rsid w:val="002C74E9"/>
    <w:rsid w:val="002D0A99"/>
    <w:rsid w:val="002D2016"/>
    <w:rsid w:val="002D2366"/>
    <w:rsid w:val="002D3415"/>
    <w:rsid w:val="002D3773"/>
    <w:rsid w:val="002D3CE5"/>
    <w:rsid w:val="002D4912"/>
    <w:rsid w:val="002D4D92"/>
    <w:rsid w:val="002E0344"/>
    <w:rsid w:val="002E0A14"/>
    <w:rsid w:val="002E2423"/>
    <w:rsid w:val="002E301B"/>
    <w:rsid w:val="002E4EA5"/>
    <w:rsid w:val="002E5E6D"/>
    <w:rsid w:val="002E67E5"/>
    <w:rsid w:val="002E68C4"/>
    <w:rsid w:val="002E778C"/>
    <w:rsid w:val="002E79E6"/>
    <w:rsid w:val="002F1832"/>
    <w:rsid w:val="002F1A54"/>
    <w:rsid w:val="002F30D9"/>
    <w:rsid w:val="002F4020"/>
    <w:rsid w:val="002F465E"/>
    <w:rsid w:val="002F5621"/>
    <w:rsid w:val="002F771C"/>
    <w:rsid w:val="002F7784"/>
    <w:rsid w:val="0030008C"/>
    <w:rsid w:val="003016BD"/>
    <w:rsid w:val="00301E2D"/>
    <w:rsid w:val="00302287"/>
    <w:rsid w:val="00303431"/>
    <w:rsid w:val="003046CB"/>
    <w:rsid w:val="0030538F"/>
    <w:rsid w:val="00307A69"/>
    <w:rsid w:val="00307C42"/>
    <w:rsid w:val="00310A2B"/>
    <w:rsid w:val="0031108B"/>
    <w:rsid w:val="00311164"/>
    <w:rsid w:val="0031329F"/>
    <w:rsid w:val="003140F7"/>
    <w:rsid w:val="003147F6"/>
    <w:rsid w:val="0031576B"/>
    <w:rsid w:val="00315E91"/>
    <w:rsid w:val="00316FF8"/>
    <w:rsid w:val="003179A5"/>
    <w:rsid w:val="003214A1"/>
    <w:rsid w:val="0032206E"/>
    <w:rsid w:val="00323107"/>
    <w:rsid w:val="00324382"/>
    <w:rsid w:val="00324AC7"/>
    <w:rsid w:val="00324B1F"/>
    <w:rsid w:val="00324DC4"/>
    <w:rsid w:val="003276DE"/>
    <w:rsid w:val="00330283"/>
    <w:rsid w:val="003307D0"/>
    <w:rsid w:val="0033151E"/>
    <w:rsid w:val="0033152A"/>
    <w:rsid w:val="00331FF5"/>
    <w:rsid w:val="00332B26"/>
    <w:rsid w:val="00332F68"/>
    <w:rsid w:val="00333267"/>
    <w:rsid w:val="003343BC"/>
    <w:rsid w:val="003349A4"/>
    <w:rsid w:val="00334AF9"/>
    <w:rsid w:val="00340975"/>
    <w:rsid w:val="00340D94"/>
    <w:rsid w:val="00341243"/>
    <w:rsid w:val="003431AB"/>
    <w:rsid w:val="00344934"/>
    <w:rsid w:val="00344B86"/>
    <w:rsid w:val="003463F1"/>
    <w:rsid w:val="003465FF"/>
    <w:rsid w:val="00346A15"/>
    <w:rsid w:val="003474FB"/>
    <w:rsid w:val="003506CA"/>
    <w:rsid w:val="0035085A"/>
    <w:rsid w:val="00351126"/>
    <w:rsid w:val="00351316"/>
    <w:rsid w:val="00351881"/>
    <w:rsid w:val="00351B89"/>
    <w:rsid w:val="00351C48"/>
    <w:rsid w:val="0035219F"/>
    <w:rsid w:val="003524EF"/>
    <w:rsid w:val="00352580"/>
    <w:rsid w:val="003528EF"/>
    <w:rsid w:val="0035391E"/>
    <w:rsid w:val="00353D87"/>
    <w:rsid w:val="00354A57"/>
    <w:rsid w:val="003550A9"/>
    <w:rsid w:val="00355B3B"/>
    <w:rsid w:val="003573C7"/>
    <w:rsid w:val="0036067F"/>
    <w:rsid w:val="00362573"/>
    <w:rsid w:val="00362E66"/>
    <w:rsid w:val="00363AEC"/>
    <w:rsid w:val="003644F4"/>
    <w:rsid w:val="00364E04"/>
    <w:rsid w:val="00364F64"/>
    <w:rsid w:val="0036739F"/>
    <w:rsid w:val="003708C3"/>
    <w:rsid w:val="00370EA6"/>
    <w:rsid w:val="003716C8"/>
    <w:rsid w:val="00371EC4"/>
    <w:rsid w:val="003736CE"/>
    <w:rsid w:val="00373CC2"/>
    <w:rsid w:val="00373D7C"/>
    <w:rsid w:val="00373D91"/>
    <w:rsid w:val="00374117"/>
    <w:rsid w:val="00374848"/>
    <w:rsid w:val="0037489E"/>
    <w:rsid w:val="0037490C"/>
    <w:rsid w:val="003772B2"/>
    <w:rsid w:val="0037744D"/>
    <w:rsid w:val="00380C07"/>
    <w:rsid w:val="00382A22"/>
    <w:rsid w:val="00383663"/>
    <w:rsid w:val="00384CFC"/>
    <w:rsid w:val="00384EA3"/>
    <w:rsid w:val="0038615B"/>
    <w:rsid w:val="00386BF0"/>
    <w:rsid w:val="00386C67"/>
    <w:rsid w:val="00390D59"/>
    <w:rsid w:val="00391232"/>
    <w:rsid w:val="00391C6A"/>
    <w:rsid w:val="00392C7B"/>
    <w:rsid w:val="003933B1"/>
    <w:rsid w:val="00393900"/>
    <w:rsid w:val="003940CE"/>
    <w:rsid w:val="003943CD"/>
    <w:rsid w:val="003953D5"/>
    <w:rsid w:val="00396FAC"/>
    <w:rsid w:val="003A0F42"/>
    <w:rsid w:val="003A2070"/>
    <w:rsid w:val="003A25C3"/>
    <w:rsid w:val="003A2CA4"/>
    <w:rsid w:val="003A3122"/>
    <w:rsid w:val="003A40E6"/>
    <w:rsid w:val="003A4AF4"/>
    <w:rsid w:val="003A6035"/>
    <w:rsid w:val="003A7524"/>
    <w:rsid w:val="003A7E4B"/>
    <w:rsid w:val="003B0F4C"/>
    <w:rsid w:val="003B1772"/>
    <w:rsid w:val="003B1852"/>
    <w:rsid w:val="003B22A3"/>
    <w:rsid w:val="003B3919"/>
    <w:rsid w:val="003B3C04"/>
    <w:rsid w:val="003B42FE"/>
    <w:rsid w:val="003B49E7"/>
    <w:rsid w:val="003B4C75"/>
    <w:rsid w:val="003B5B30"/>
    <w:rsid w:val="003B5CA4"/>
    <w:rsid w:val="003B6640"/>
    <w:rsid w:val="003B667D"/>
    <w:rsid w:val="003B6AAB"/>
    <w:rsid w:val="003C01F8"/>
    <w:rsid w:val="003C098E"/>
    <w:rsid w:val="003C0BAA"/>
    <w:rsid w:val="003C0D2D"/>
    <w:rsid w:val="003C13CF"/>
    <w:rsid w:val="003C1B16"/>
    <w:rsid w:val="003C1C5E"/>
    <w:rsid w:val="003C282D"/>
    <w:rsid w:val="003C3B24"/>
    <w:rsid w:val="003C4357"/>
    <w:rsid w:val="003C468A"/>
    <w:rsid w:val="003C48B4"/>
    <w:rsid w:val="003C4B15"/>
    <w:rsid w:val="003D14D6"/>
    <w:rsid w:val="003D2C14"/>
    <w:rsid w:val="003D3715"/>
    <w:rsid w:val="003D4B5F"/>
    <w:rsid w:val="003D5005"/>
    <w:rsid w:val="003D60A5"/>
    <w:rsid w:val="003D684D"/>
    <w:rsid w:val="003D6E9E"/>
    <w:rsid w:val="003E033B"/>
    <w:rsid w:val="003E0463"/>
    <w:rsid w:val="003E0580"/>
    <w:rsid w:val="003E2C66"/>
    <w:rsid w:val="003E5A8B"/>
    <w:rsid w:val="003E71C9"/>
    <w:rsid w:val="003E7EA3"/>
    <w:rsid w:val="003F19BE"/>
    <w:rsid w:val="003F2CFC"/>
    <w:rsid w:val="003F3045"/>
    <w:rsid w:val="003F376E"/>
    <w:rsid w:val="003F390F"/>
    <w:rsid w:val="003F4AC3"/>
    <w:rsid w:val="003F553B"/>
    <w:rsid w:val="003F5E47"/>
    <w:rsid w:val="003F737E"/>
    <w:rsid w:val="00401181"/>
    <w:rsid w:val="00401AD4"/>
    <w:rsid w:val="00402234"/>
    <w:rsid w:val="00402CF3"/>
    <w:rsid w:val="004045C3"/>
    <w:rsid w:val="00404656"/>
    <w:rsid w:val="00405F3A"/>
    <w:rsid w:val="00406A25"/>
    <w:rsid w:val="0040780E"/>
    <w:rsid w:val="00411F3C"/>
    <w:rsid w:val="00412538"/>
    <w:rsid w:val="00413415"/>
    <w:rsid w:val="00413584"/>
    <w:rsid w:val="00413AE4"/>
    <w:rsid w:val="004145F8"/>
    <w:rsid w:val="004157BB"/>
    <w:rsid w:val="00416D66"/>
    <w:rsid w:val="00417402"/>
    <w:rsid w:val="00417B12"/>
    <w:rsid w:val="00420805"/>
    <w:rsid w:val="00420897"/>
    <w:rsid w:val="00421C10"/>
    <w:rsid w:val="00423802"/>
    <w:rsid w:val="00423AD5"/>
    <w:rsid w:val="004242EE"/>
    <w:rsid w:val="00424791"/>
    <w:rsid w:val="0042531B"/>
    <w:rsid w:val="00425515"/>
    <w:rsid w:val="00425B38"/>
    <w:rsid w:val="00425CE3"/>
    <w:rsid w:val="00426053"/>
    <w:rsid w:val="004276BE"/>
    <w:rsid w:val="0043187D"/>
    <w:rsid w:val="004318FC"/>
    <w:rsid w:val="00433E0F"/>
    <w:rsid w:val="00434890"/>
    <w:rsid w:val="00436C1E"/>
    <w:rsid w:val="004376AA"/>
    <w:rsid w:val="00437DA5"/>
    <w:rsid w:val="00437F50"/>
    <w:rsid w:val="00442C2A"/>
    <w:rsid w:val="00443990"/>
    <w:rsid w:val="00443BF0"/>
    <w:rsid w:val="004445D1"/>
    <w:rsid w:val="004454AE"/>
    <w:rsid w:val="00445747"/>
    <w:rsid w:val="00445836"/>
    <w:rsid w:val="0044732B"/>
    <w:rsid w:val="004477F4"/>
    <w:rsid w:val="00450E16"/>
    <w:rsid w:val="00451122"/>
    <w:rsid w:val="004519A1"/>
    <w:rsid w:val="00451A42"/>
    <w:rsid w:val="004537C1"/>
    <w:rsid w:val="00453AE3"/>
    <w:rsid w:val="00454319"/>
    <w:rsid w:val="004544D3"/>
    <w:rsid w:val="004547C6"/>
    <w:rsid w:val="00454C6D"/>
    <w:rsid w:val="004567B2"/>
    <w:rsid w:val="00457D07"/>
    <w:rsid w:val="0046009A"/>
    <w:rsid w:val="0046166A"/>
    <w:rsid w:val="00462141"/>
    <w:rsid w:val="00462292"/>
    <w:rsid w:val="00462E97"/>
    <w:rsid w:val="004636C9"/>
    <w:rsid w:val="0046389B"/>
    <w:rsid w:val="004644A8"/>
    <w:rsid w:val="004664AB"/>
    <w:rsid w:val="00470E64"/>
    <w:rsid w:val="0047252A"/>
    <w:rsid w:val="00482516"/>
    <w:rsid w:val="00482BB8"/>
    <w:rsid w:val="004834FC"/>
    <w:rsid w:val="004847BF"/>
    <w:rsid w:val="0048641F"/>
    <w:rsid w:val="00486591"/>
    <w:rsid w:val="00486D3C"/>
    <w:rsid w:val="00487A66"/>
    <w:rsid w:val="00487FCE"/>
    <w:rsid w:val="004909B4"/>
    <w:rsid w:val="00493A4E"/>
    <w:rsid w:val="00494103"/>
    <w:rsid w:val="00494E90"/>
    <w:rsid w:val="004953AB"/>
    <w:rsid w:val="00495410"/>
    <w:rsid w:val="00497321"/>
    <w:rsid w:val="004A076B"/>
    <w:rsid w:val="004A0921"/>
    <w:rsid w:val="004A1493"/>
    <w:rsid w:val="004A1610"/>
    <w:rsid w:val="004A242A"/>
    <w:rsid w:val="004A2CB4"/>
    <w:rsid w:val="004A3AF8"/>
    <w:rsid w:val="004A443A"/>
    <w:rsid w:val="004A4898"/>
    <w:rsid w:val="004A4BE6"/>
    <w:rsid w:val="004A66E3"/>
    <w:rsid w:val="004A6A1A"/>
    <w:rsid w:val="004B08DB"/>
    <w:rsid w:val="004B0B33"/>
    <w:rsid w:val="004B0C96"/>
    <w:rsid w:val="004B1505"/>
    <w:rsid w:val="004B304B"/>
    <w:rsid w:val="004B334E"/>
    <w:rsid w:val="004B38A3"/>
    <w:rsid w:val="004B50EA"/>
    <w:rsid w:val="004B5DE7"/>
    <w:rsid w:val="004C05BF"/>
    <w:rsid w:val="004C0838"/>
    <w:rsid w:val="004C0FB8"/>
    <w:rsid w:val="004C16C4"/>
    <w:rsid w:val="004C2318"/>
    <w:rsid w:val="004C3FDB"/>
    <w:rsid w:val="004C4226"/>
    <w:rsid w:val="004C46F3"/>
    <w:rsid w:val="004C558C"/>
    <w:rsid w:val="004C5C86"/>
    <w:rsid w:val="004C5D41"/>
    <w:rsid w:val="004D059D"/>
    <w:rsid w:val="004D1DC2"/>
    <w:rsid w:val="004D1FCF"/>
    <w:rsid w:val="004D2722"/>
    <w:rsid w:val="004D3644"/>
    <w:rsid w:val="004D3BBA"/>
    <w:rsid w:val="004D3DC3"/>
    <w:rsid w:val="004D5857"/>
    <w:rsid w:val="004D59CF"/>
    <w:rsid w:val="004D7999"/>
    <w:rsid w:val="004E0644"/>
    <w:rsid w:val="004E0785"/>
    <w:rsid w:val="004E1C0C"/>
    <w:rsid w:val="004E773D"/>
    <w:rsid w:val="004F0266"/>
    <w:rsid w:val="004F2444"/>
    <w:rsid w:val="004F2E3C"/>
    <w:rsid w:val="004F3608"/>
    <w:rsid w:val="004F4E3D"/>
    <w:rsid w:val="004F5242"/>
    <w:rsid w:val="004F5AC0"/>
    <w:rsid w:val="004F752E"/>
    <w:rsid w:val="004F7636"/>
    <w:rsid w:val="004F7C2F"/>
    <w:rsid w:val="00500B98"/>
    <w:rsid w:val="00500E26"/>
    <w:rsid w:val="005017B9"/>
    <w:rsid w:val="005021BF"/>
    <w:rsid w:val="00502589"/>
    <w:rsid w:val="005026B0"/>
    <w:rsid w:val="0050392D"/>
    <w:rsid w:val="005044C5"/>
    <w:rsid w:val="00504A88"/>
    <w:rsid w:val="00504D86"/>
    <w:rsid w:val="005062DD"/>
    <w:rsid w:val="00506D1A"/>
    <w:rsid w:val="00506FB3"/>
    <w:rsid w:val="0050786F"/>
    <w:rsid w:val="0051075B"/>
    <w:rsid w:val="00512951"/>
    <w:rsid w:val="005129BF"/>
    <w:rsid w:val="0051312D"/>
    <w:rsid w:val="005135B3"/>
    <w:rsid w:val="00513EE3"/>
    <w:rsid w:val="00514B8E"/>
    <w:rsid w:val="0051588F"/>
    <w:rsid w:val="005158ED"/>
    <w:rsid w:val="00515E6C"/>
    <w:rsid w:val="005165B7"/>
    <w:rsid w:val="00520F58"/>
    <w:rsid w:val="00521918"/>
    <w:rsid w:val="00521DCA"/>
    <w:rsid w:val="00522287"/>
    <w:rsid w:val="0052264F"/>
    <w:rsid w:val="0052412A"/>
    <w:rsid w:val="00524824"/>
    <w:rsid w:val="0052607F"/>
    <w:rsid w:val="005263FD"/>
    <w:rsid w:val="005304ED"/>
    <w:rsid w:val="0053160A"/>
    <w:rsid w:val="00531AF2"/>
    <w:rsid w:val="00532A9B"/>
    <w:rsid w:val="005339F4"/>
    <w:rsid w:val="00533A50"/>
    <w:rsid w:val="00534E9A"/>
    <w:rsid w:val="005353AF"/>
    <w:rsid w:val="00536290"/>
    <w:rsid w:val="00537C77"/>
    <w:rsid w:val="00537EC9"/>
    <w:rsid w:val="00542564"/>
    <w:rsid w:val="0054387B"/>
    <w:rsid w:val="00544786"/>
    <w:rsid w:val="0054611C"/>
    <w:rsid w:val="00546AAE"/>
    <w:rsid w:val="00546D90"/>
    <w:rsid w:val="00547A75"/>
    <w:rsid w:val="00547FAE"/>
    <w:rsid w:val="0055109B"/>
    <w:rsid w:val="005515FD"/>
    <w:rsid w:val="00552E78"/>
    <w:rsid w:val="00554195"/>
    <w:rsid w:val="0055469D"/>
    <w:rsid w:val="00555371"/>
    <w:rsid w:val="005556DC"/>
    <w:rsid w:val="0055584A"/>
    <w:rsid w:val="00556642"/>
    <w:rsid w:val="00557640"/>
    <w:rsid w:val="00557FDD"/>
    <w:rsid w:val="0056077B"/>
    <w:rsid w:val="0056080F"/>
    <w:rsid w:val="00560A93"/>
    <w:rsid w:val="00560C7E"/>
    <w:rsid w:val="0056189D"/>
    <w:rsid w:val="005624F7"/>
    <w:rsid w:val="00562D7A"/>
    <w:rsid w:val="00563B4D"/>
    <w:rsid w:val="0056418B"/>
    <w:rsid w:val="005652F7"/>
    <w:rsid w:val="00567310"/>
    <w:rsid w:val="00567C86"/>
    <w:rsid w:val="00567C8B"/>
    <w:rsid w:val="005704B6"/>
    <w:rsid w:val="0057098E"/>
    <w:rsid w:val="00570B9E"/>
    <w:rsid w:val="00570F3E"/>
    <w:rsid w:val="00572127"/>
    <w:rsid w:val="00572267"/>
    <w:rsid w:val="00576FD8"/>
    <w:rsid w:val="00577472"/>
    <w:rsid w:val="00580D8C"/>
    <w:rsid w:val="005815BC"/>
    <w:rsid w:val="00583085"/>
    <w:rsid w:val="00583333"/>
    <w:rsid w:val="00583691"/>
    <w:rsid w:val="00583CB5"/>
    <w:rsid w:val="005853DB"/>
    <w:rsid w:val="005857FF"/>
    <w:rsid w:val="00587457"/>
    <w:rsid w:val="005875DF"/>
    <w:rsid w:val="00587610"/>
    <w:rsid w:val="00587999"/>
    <w:rsid w:val="00587BA3"/>
    <w:rsid w:val="005918BB"/>
    <w:rsid w:val="00592310"/>
    <w:rsid w:val="00592831"/>
    <w:rsid w:val="00593E8F"/>
    <w:rsid w:val="005949B3"/>
    <w:rsid w:val="00594F2A"/>
    <w:rsid w:val="0059552A"/>
    <w:rsid w:val="0059770D"/>
    <w:rsid w:val="005A0DD4"/>
    <w:rsid w:val="005A2F99"/>
    <w:rsid w:val="005A4C90"/>
    <w:rsid w:val="005A58B4"/>
    <w:rsid w:val="005A6256"/>
    <w:rsid w:val="005A6B29"/>
    <w:rsid w:val="005A6DC1"/>
    <w:rsid w:val="005A6E49"/>
    <w:rsid w:val="005A6F50"/>
    <w:rsid w:val="005A7DAE"/>
    <w:rsid w:val="005A7E3D"/>
    <w:rsid w:val="005B0E3E"/>
    <w:rsid w:val="005B17C4"/>
    <w:rsid w:val="005B1C34"/>
    <w:rsid w:val="005B2C8B"/>
    <w:rsid w:val="005B4BCE"/>
    <w:rsid w:val="005B6D6E"/>
    <w:rsid w:val="005B7D98"/>
    <w:rsid w:val="005B7E76"/>
    <w:rsid w:val="005C130F"/>
    <w:rsid w:val="005C2B48"/>
    <w:rsid w:val="005C3919"/>
    <w:rsid w:val="005C4A67"/>
    <w:rsid w:val="005C62F3"/>
    <w:rsid w:val="005C6ED9"/>
    <w:rsid w:val="005D1825"/>
    <w:rsid w:val="005D1F08"/>
    <w:rsid w:val="005D6DC0"/>
    <w:rsid w:val="005D7FB9"/>
    <w:rsid w:val="005E09FD"/>
    <w:rsid w:val="005E1096"/>
    <w:rsid w:val="005E12EF"/>
    <w:rsid w:val="005E1F23"/>
    <w:rsid w:val="005E2249"/>
    <w:rsid w:val="005E240E"/>
    <w:rsid w:val="005E2A2F"/>
    <w:rsid w:val="005E2A4F"/>
    <w:rsid w:val="005E3ED9"/>
    <w:rsid w:val="005E4474"/>
    <w:rsid w:val="005E4AC3"/>
    <w:rsid w:val="005E5D6E"/>
    <w:rsid w:val="005E5E5E"/>
    <w:rsid w:val="005E6197"/>
    <w:rsid w:val="005E6DB3"/>
    <w:rsid w:val="005E76CA"/>
    <w:rsid w:val="005E791D"/>
    <w:rsid w:val="005F3382"/>
    <w:rsid w:val="005F5BB9"/>
    <w:rsid w:val="005F5F26"/>
    <w:rsid w:val="0060110A"/>
    <w:rsid w:val="006023DF"/>
    <w:rsid w:val="00603243"/>
    <w:rsid w:val="00603567"/>
    <w:rsid w:val="00603AF7"/>
    <w:rsid w:val="00603FFE"/>
    <w:rsid w:val="006053B5"/>
    <w:rsid w:val="00606F47"/>
    <w:rsid w:val="0061244D"/>
    <w:rsid w:val="00613E22"/>
    <w:rsid w:val="00614B06"/>
    <w:rsid w:val="00615420"/>
    <w:rsid w:val="006156FC"/>
    <w:rsid w:val="006167E5"/>
    <w:rsid w:val="00616B3D"/>
    <w:rsid w:val="006209FE"/>
    <w:rsid w:val="00621ADF"/>
    <w:rsid w:val="00621B47"/>
    <w:rsid w:val="00623289"/>
    <w:rsid w:val="006237EE"/>
    <w:rsid w:val="006238B3"/>
    <w:rsid w:val="00623900"/>
    <w:rsid w:val="00623E3B"/>
    <w:rsid w:val="00625144"/>
    <w:rsid w:val="006259DE"/>
    <w:rsid w:val="0062794D"/>
    <w:rsid w:val="00627DEA"/>
    <w:rsid w:val="00630138"/>
    <w:rsid w:val="006304CA"/>
    <w:rsid w:val="0063092D"/>
    <w:rsid w:val="00630987"/>
    <w:rsid w:val="00630A9E"/>
    <w:rsid w:val="00631BB5"/>
    <w:rsid w:val="00632892"/>
    <w:rsid w:val="0063352C"/>
    <w:rsid w:val="006353E1"/>
    <w:rsid w:val="00635931"/>
    <w:rsid w:val="0063628F"/>
    <w:rsid w:val="00636C29"/>
    <w:rsid w:val="00637AAB"/>
    <w:rsid w:val="006405C1"/>
    <w:rsid w:val="006409CC"/>
    <w:rsid w:val="006411D5"/>
    <w:rsid w:val="00641227"/>
    <w:rsid w:val="0064312F"/>
    <w:rsid w:val="006431D9"/>
    <w:rsid w:val="0064326B"/>
    <w:rsid w:val="006460F8"/>
    <w:rsid w:val="00647DBF"/>
    <w:rsid w:val="00651C20"/>
    <w:rsid w:val="00651C8B"/>
    <w:rsid w:val="00652050"/>
    <w:rsid w:val="0065298A"/>
    <w:rsid w:val="006553AA"/>
    <w:rsid w:val="0065754C"/>
    <w:rsid w:val="00657907"/>
    <w:rsid w:val="00657B5C"/>
    <w:rsid w:val="00657DB1"/>
    <w:rsid w:val="0066127A"/>
    <w:rsid w:val="00661C4C"/>
    <w:rsid w:val="0066217E"/>
    <w:rsid w:val="00663A9C"/>
    <w:rsid w:val="00663ED9"/>
    <w:rsid w:val="0066524A"/>
    <w:rsid w:val="00666D0D"/>
    <w:rsid w:val="00667A2A"/>
    <w:rsid w:val="00670B72"/>
    <w:rsid w:val="00671DD2"/>
    <w:rsid w:val="006742D1"/>
    <w:rsid w:val="006743AF"/>
    <w:rsid w:val="006744F2"/>
    <w:rsid w:val="00674966"/>
    <w:rsid w:val="0067588E"/>
    <w:rsid w:val="006776B1"/>
    <w:rsid w:val="00680361"/>
    <w:rsid w:val="00681537"/>
    <w:rsid w:val="00681A4C"/>
    <w:rsid w:val="00681CF3"/>
    <w:rsid w:val="0068229F"/>
    <w:rsid w:val="00684076"/>
    <w:rsid w:val="00684AE8"/>
    <w:rsid w:val="00687036"/>
    <w:rsid w:val="00690858"/>
    <w:rsid w:val="00690938"/>
    <w:rsid w:val="00691481"/>
    <w:rsid w:val="00691551"/>
    <w:rsid w:val="0069204E"/>
    <w:rsid w:val="00692847"/>
    <w:rsid w:val="00692C5D"/>
    <w:rsid w:val="00693CA9"/>
    <w:rsid w:val="00693DBA"/>
    <w:rsid w:val="00694417"/>
    <w:rsid w:val="00694C15"/>
    <w:rsid w:val="006950BA"/>
    <w:rsid w:val="006956DE"/>
    <w:rsid w:val="00695742"/>
    <w:rsid w:val="0069798F"/>
    <w:rsid w:val="006A0A1A"/>
    <w:rsid w:val="006A16FE"/>
    <w:rsid w:val="006A186E"/>
    <w:rsid w:val="006A2D54"/>
    <w:rsid w:val="006A3FCC"/>
    <w:rsid w:val="006A4D6D"/>
    <w:rsid w:val="006A4DD2"/>
    <w:rsid w:val="006A693C"/>
    <w:rsid w:val="006A6A48"/>
    <w:rsid w:val="006A6D01"/>
    <w:rsid w:val="006A77FA"/>
    <w:rsid w:val="006A7F32"/>
    <w:rsid w:val="006B06D5"/>
    <w:rsid w:val="006B1456"/>
    <w:rsid w:val="006B14DD"/>
    <w:rsid w:val="006B190E"/>
    <w:rsid w:val="006B2069"/>
    <w:rsid w:val="006B2BE6"/>
    <w:rsid w:val="006B45D9"/>
    <w:rsid w:val="006B4651"/>
    <w:rsid w:val="006B49DD"/>
    <w:rsid w:val="006B6990"/>
    <w:rsid w:val="006C168D"/>
    <w:rsid w:val="006C2E98"/>
    <w:rsid w:val="006C3DED"/>
    <w:rsid w:val="006C7B82"/>
    <w:rsid w:val="006D0810"/>
    <w:rsid w:val="006D28AC"/>
    <w:rsid w:val="006D4535"/>
    <w:rsid w:val="006D4550"/>
    <w:rsid w:val="006D509B"/>
    <w:rsid w:val="006D5CA7"/>
    <w:rsid w:val="006D65A2"/>
    <w:rsid w:val="006D6E0A"/>
    <w:rsid w:val="006D76D5"/>
    <w:rsid w:val="006D7AA5"/>
    <w:rsid w:val="006E033C"/>
    <w:rsid w:val="006E04DD"/>
    <w:rsid w:val="006E0512"/>
    <w:rsid w:val="006E0EB4"/>
    <w:rsid w:val="006E16B4"/>
    <w:rsid w:val="006E19F6"/>
    <w:rsid w:val="006E1A30"/>
    <w:rsid w:val="006E1E43"/>
    <w:rsid w:val="006E4820"/>
    <w:rsid w:val="006E5774"/>
    <w:rsid w:val="006E58D6"/>
    <w:rsid w:val="006E6E25"/>
    <w:rsid w:val="006E7C9A"/>
    <w:rsid w:val="006F04D4"/>
    <w:rsid w:val="006F0CB6"/>
    <w:rsid w:val="006F1D90"/>
    <w:rsid w:val="006F2702"/>
    <w:rsid w:val="006F3311"/>
    <w:rsid w:val="006F3715"/>
    <w:rsid w:val="006F3F6B"/>
    <w:rsid w:val="006F406F"/>
    <w:rsid w:val="006F52B6"/>
    <w:rsid w:val="006F7091"/>
    <w:rsid w:val="006F70E5"/>
    <w:rsid w:val="006F7794"/>
    <w:rsid w:val="00701027"/>
    <w:rsid w:val="0070290B"/>
    <w:rsid w:val="00702949"/>
    <w:rsid w:val="0070374F"/>
    <w:rsid w:val="00703786"/>
    <w:rsid w:val="007058DA"/>
    <w:rsid w:val="007060BB"/>
    <w:rsid w:val="00706C05"/>
    <w:rsid w:val="007076E5"/>
    <w:rsid w:val="007077E6"/>
    <w:rsid w:val="00711344"/>
    <w:rsid w:val="00711A18"/>
    <w:rsid w:val="007128D2"/>
    <w:rsid w:val="00712D2A"/>
    <w:rsid w:val="00712EA4"/>
    <w:rsid w:val="0071395A"/>
    <w:rsid w:val="00713F57"/>
    <w:rsid w:val="00713F99"/>
    <w:rsid w:val="00714C6C"/>
    <w:rsid w:val="00714F2E"/>
    <w:rsid w:val="00714F59"/>
    <w:rsid w:val="00714FE5"/>
    <w:rsid w:val="00715D62"/>
    <w:rsid w:val="00716692"/>
    <w:rsid w:val="007202F2"/>
    <w:rsid w:val="00720980"/>
    <w:rsid w:val="0072106C"/>
    <w:rsid w:val="00722CB2"/>
    <w:rsid w:val="007235E2"/>
    <w:rsid w:val="00724E7F"/>
    <w:rsid w:val="00725E0A"/>
    <w:rsid w:val="007261AC"/>
    <w:rsid w:val="007303EC"/>
    <w:rsid w:val="00730457"/>
    <w:rsid w:val="0073049F"/>
    <w:rsid w:val="00730A09"/>
    <w:rsid w:val="00730C73"/>
    <w:rsid w:val="0073107F"/>
    <w:rsid w:val="0073258A"/>
    <w:rsid w:val="00732DDC"/>
    <w:rsid w:val="00733CF6"/>
    <w:rsid w:val="00735E36"/>
    <w:rsid w:val="00735E5F"/>
    <w:rsid w:val="00736000"/>
    <w:rsid w:val="00736529"/>
    <w:rsid w:val="00736DCB"/>
    <w:rsid w:val="007376A7"/>
    <w:rsid w:val="007403D8"/>
    <w:rsid w:val="00740761"/>
    <w:rsid w:val="0074134D"/>
    <w:rsid w:val="007426F4"/>
    <w:rsid w:val="00743FEB"/>
    <w:rsid w:val="00744094"/>
    <w:rsid w:val="00744C57"/>
    <w:rsid w:val="00747E6D"/>
    <w:rsid w:val="007506B7"/>
    <w:rsid w:val="00751299"/>
    <w:rsid w:val="00751B88"/>
    <w:rsid w:val="00752A34"/>
    <w:rsid w:val="00752AFF"/>
    <w:rsid w:val="0075484C"/>
    <w:rsid w:val="00754A08"/>
    <w:rsid w:val="00754F96"/>
    <w:rsid w:val="007552CC"/>
    <w:rsid w:val="00756708"/>
    <w:rsid w:val="00756D54"/>
    <w:rsid w:val="00757819"/>
    <w:rsid w:val="00760DF1"/>
    <w:rsid w:val="00762591"/>
    <w:rsid w:val="00764F75"/>
    <w:rsid w:val="00766824"/>
    <w:rsid w:val="00766DF7"/>
    <w:rsid w:val="00767E27"/>
    <w:rsid w:val="007701B6"/>
    <w:rsid w:val="007704E9"/>
    <w:rsid w:val="00771061"/>
    <w:rsid w:val="0077219A"/>
    <w:rsid w:val="007723C4"/>
    <w:rsid w:val="0077750A"/>
    <w:rsid w:val="0078056C"/>
    <w:rsid w:val="00781951"/>
    <w:rsid w:val="00781F1B"/>
    <w:rsid w:val="00783C8F"/>
    <w:rsid w:val="0078401F"/>
    <w:rsid w:val="00785CE0"/>
    <w:rsid w:val="00787E03"/>
    <w:rsid w:val="007915A3"/>
    <w:rsid w:val="00791925"/>
    <w:rsid w:val="00792B45"/>
    <w:rsid w:val="00792C4E"/>
    <w:rsid w:val="00795BD9"/>
    <w:rsid w:val="007962E2"/>
    <w:rsid w:val="00796B10"/>
    <w:rsid w:val="00796B45"/>
    <w:rsid w:val="007A0B86"/>
    <w:rsid w:val="007A1723"/>
    <w:rsid w:val="007A2974"/>
    <w:rsid w:val="007A2A9E"/>
    <w:rsid w:val="007A3E59"/>
    <w:rsid w:val="007A4FD9"/>
    <w:rsid w:val="007A5B60"/>
    <w:rsid w:val="007A5E73"/>
    <w:rsid w:val="007A7241"/>
    <w:rsid w:val="007B0487"/>
    <w:rsid w:val="007B20FF"/>
    <w:rsid w:val="007B3E94"/>
    <w:rsid w:val="007B60B6"/>
    <w:rsid w:val="007B658B"/>
    <w:rsid w:val="007C0B2E"/>
    <w:rsid w:val="007C0EBA"/>
    <w:rsid w:val="007C2B59"/>
    <w:rsid w:val="007C2C0C"/>
    <w:rsid w:val="007C3B7A"/>
    <w:rsid w:val="007C4025"/>
    <w:rsid w:val="007C43A8"/>
    <w:rsid w:val="007C4781"/>
    <w:rsid w:val="007C52E1"/>
    <w:rsid w:val="007C690E"/>
    <w:rsid w:val="007C6B90"/>
    <w:rsid w:val="007C72EB"/>
    <w:rsid w:val="007D0ADA"/>
    <w:rsid w:val="007D2189"/>
    <w:rsid w:val="007D30AE"/>
    <w:rsid w:val="007D30CA"/>
    <w:rsid w:val="007D4A7B"/>
    <w:rsid w:val="007D4F4E"/>
    <w:rsid w:val="007D5939"/>
    <w:rsid w:val="007D6CA3"/>
    <w:rsid w:val="007D6FE4"/>
    <w:rsid w:val="007D713B"/>
    <w:rsid w:val="007D74E9"/>
    <w:rsid w:val="007E0C17"/>
    <w:rsid w:val="007E1972"/>
    <w:rsid w:val="007E24B4"/>
    <w:rsid w:val="007E3149"/>
    <w:rsid w:val="007E3DDE"/>
    <w:rsid w:val="007E491C"/>
    <w:rsid w:val="007E566D"/>
    <w:rsid w:val="007E5A32"/>
    <w:rsid w:val="007E6A66"/>
    <w:rsid w:val="007E6B96"/>
    <w:rsid w:val="007E74B9"/>
    <w:rsid w:val="007F02AD"/>
    <w:rsid w:val="007F209D"/>
    <w:rsid w:val="007F41AD"/>
    <w:rsid w:val="007F52C9"/>
    <w:rsid w:val="007F5F22"/>
    <w:rsid w:val="007F664A"/>
    <w:rsid w:val="007F68CE"/>
    <w:rsid w:val="007F76AC"/>
    <w:rsid w:val="007F78B2"/>
    <w:rsid w:val="007F7A89"/>
    <w:rsid w:val="007F7EEF"/>
    <w:rsid w:val="008001B6"/>
    <w:rsid w:val="008003F6"/>
    <w:rsid w:val="00801C29"/>
    <w:rsid w:val="00801D35"/>
    <w:rsid w:val="008026BB"/>
    <w:rsid w:val="008035CE"/>
    <w:rsid w:val="00803A71"/>
    <w:rsid w:val="00804EB0"/>
    <w:rsid w:val="00806EEB"/>
    <w:rsid w:val="008073B7"/>
    <w:rsid w:val="00807A75"/>
    <w:rsid w:val="00811E07"/>
    <w:rsid w:val="00812AAF"/>
    <w:rsid w:val="00813360"/>
    <w:rsid w:val="00813BA4"/>
    <w:rsid w:val="00814283"/>
    <w:rsid w:val="00815C1C"/>
    <w:rsid w:val="00816000"/>
    <w:rsid w:val="00816108"/>
    <w:rsid w:val="008169A6"/>
    <w:rsid w:val="0082039E"/>
    <w:rsid w:val="008204C8"/>
    <w:rsid w:val="00820540"/>
    <w:rsid w:val="00820CB7"/>
    <w:rsid w:val="00821569"/>
    <w:rsid w:val="008225A8"/>
    <w:rsid w:val="00823213"/>
    <w:rsid w:val="0082540E"/>
    <w:rsid w:val="0082595E"/>
    <w:rsid w:val="00825983"/>
    <w:rsid w:val="00831B78"/>
    <w:rsid w:val="0083308B"/>
    <w:rsid w:val="0083323B"/>
    <w:rsid w:val="00833509"/>
    <w:rsid w:val="00833963"/>
    <w:rsid w:val="0083459E"/>
    <w:rsid w:val="008347D2"/>
    <w:rsid w:val="00836616"/>
    <w:rsid w:val="0083710C"/>
    <w:rsid w:val="0083717E"/>
    <w:rsid w:val="00837635"/>
    <w:rsid w:val="008403E3"/>
    <w:rsid w:val="008417F2"/>
    <w:rsid w:val="00842F29"/>
    <w:rsid w:val="00843C26"/>
    <w:rsid w:val="00844C78"/>
    <w:rsid w:val="0084501A"/>
    <w:rsid w:val="008470D1"/>
    <w:rsid w:val="00847498"/>
    <w:rsid w:val="00851225"/>
    <w:rsid w:val="00851EC1"/>
    <w:rsid w:val="00851F2B"/>
    <w:rsid w:val="00853F54"/>
    <w:rsid w:val="00854B9C"/>
    <w:rsid w:val="00854E66"/>
    <w:rsid w:val="00855697"/>
    <w:rsid w:val="008558CF"/>
    <w:rsid w:val="00856334"/>
    <w:rsid w:val="00856CE7"/>
    <w:rsid w:val="00860246"/>
    <w:rsid w:val="00860A4D"/>
    <w:rsid w:val="0086117B"/>
    <w:rsid w:val="0086187F"/>
    <w:rsid w:val="00862C48"/>
    <w:rsid w:val="00864734"/>
    <w:rsid w:val="00865B2F"/>
    <w:rsid w:val="008668EF"/>
    <w:rsid w:val="00870582"/>
    <w:rsid w:val="00871CA9"/>
    <w:rsid w:val="00873E16"/>
    <w:rsid w:val="008746C4"/>
    <w:rsid w:val="008752DA"/>
    <w:rsid w:val="00875AB4"/>
    <w:rsid w:val="00875CFB"/>
    <w:rsid w:val="008760CD"/>
    <w:rsid w:val="008773DC"/>
    <w:rsid w:val="00877BCA"/>
    <w:rsid w:val="008814B5"/>
    <w:rsid w:val="0088172A"/>
    <w:rsid w:val="00881E6F"/>
    <w:rsid w:val="0088269A"/>
    <w:rsid w:val="00882A0E"/>
    <w:rsid w:val="00882BDD"/>
    <w:rsid w:val="008855A0"/>
    <w:rsid w:val="00886CA1"/>
    <w:rsid w:val="00887989"/>
    <w:rsid w:val="0089007E"/>
    <w:rsid w:val="0089063A"/>
    <w:rsid w:val="00890707"/>
    <w:rsid w:val="00892D40"/>
    <w:rsid w:val="0089310B"/>
    <w:rsid w:val="008940E7"/>
    <w:rsid w:val="008946C3"/>
    <w:rsid w:val="00894C8A"/>
    <w:rsid w:val="008976AC"/>
    <w:rsid w:val="00897FC0"/>
    <w:rsid w:val="008A0376"/>
    <w:rsid w:val="008A0971"/>
    <w:rsid w:val="008A0D04"/>
    <w:rsid w:val="008A145C"/>
    <w:rsid w:val="008A2696"/>
    <w:rsid w:val="008A26EB"/>
    <w:rsid w:val="008A2AFF"/>
    <w:rsid w:val="008A2B30"/>
    <w:rsid w:val="008A2C05"/>
    <w:rsid w:val="008A2EC7"/>
    <w:rsid w:val="008A32A9"/>
    <w:rsid w:val="008A3716"/>
    <w:rsid w:val="008A3D87"/>
    <w:rsid w:val="008A4ABE"/>
    <w:rsid w:val="008A6260"/>
    <w:rsid w:val="008A78AD"/>
    <w:rsid w:val="008A79C5"/>
    <w:rsid w:val="008B0285"/>
    <w:rsid w:val="008B0D87"/>
    <w:rsid w:val="008B1B7B"/>
    <w:rsid w:val="008B2D30"/>
    <w:rsid w:val="008B3216"/>
    <w:rsid w:val="008B39CA"/>
    <w:rsid w:val="008B5D59"/>
    <w:rsid w:val="008B617F"/>
    <w:rsid w:val="008C0243"/>
    <w:rsid w:val="008C0842"/>
    <w:rsid w:val="008C22C4"/>
    <w:rsid w:val="008C265F"/>
    <w:rsid w:val="008C3219"/>
    <w:rsid w:val="008C3995"/>
    <w:rsid w:val="008C4CFB"/>
    <w:rsid w:val="008C5648"/>
    <w:rsid w:val="008C585B"/>
    <w:rsid w:val="008D05F2"/>
    <w:rsid w:val="008D1F31"/>
    <w:rsid w:val="008D2AA9"/>
    <w:rsid w:val="008D72A9"/>
    <w:rsid w:val="008D7569"/>
    <w:rsid w:val="008D7616"/>
    <w:rsid w:val="008D7652"/>
    <w:rsid w:val="008E02E4"/>
    <w:rsid w:val="008E0B5E"/>
    <w:rsid w:val="008E3391"/>
    <w:rsid w:val="008E33E7"/>
    <w:rsid w:val="008E46CC"/>
    <w:rsid w:val="008E4CE7"/>
    <w:rsid w:val="008E6142"/>
    <w:rsid w:val="008E6EFB"/>
    <w:rsid w:val="008E75C0"/>
    <w:rsid w:val="008F0B7F"/>
    <w:rsid w:val="008F0CD6"/>
    <w:rsid w:val="008F0E69"/>
    <w:rsid w:val="008F0F15"/>
    <w:rsid w:val="008F1416"/>
    <w:rsid w:val="008F1466"/>
    <w:rsid w:val="008F245A"/>
    <w:rsid w:val="008F24FB"/>
    <w:rsid w:val="008F2810"/>
    <w:rsid w:val="008F2BCF"/>
    <w:rsid w:val="008F40CC"/>
    <w:rsid w:val="008F4486"/>
    <w:rsid w:val="008F45D6"/>
    <w:rsid w:val="008F7879"/>
    <w:rsid w:val="0090051E"/>
    <w:rsid w:val="00900BA6"/>
    <w:rsid w:val="009022FA"/>
    <w:rsid w:val="009023E8"/>
    <w:rsid w:val="009025FC"/>
    <w:rsid w:val="0090371E"/>
    <w:rsid w:val="00903B36"/>
    <w:rsid w:val="00903D79"/>
    <w:rsid w:val="00904573"/>
    <w:rsid w:val="00904A0D"/>
    <w:rsid w:val="00905C43"/>
    <w:rsid w:val="0090663E"/>
    <w:rsid w:val="00906A53"/>
    <w:rsid w:val="00906A69"/>
    <w:rsid w:val="00906B78"/>
    <w:rsid w:val="00907327"/>
    <w:rsid w:val="00907469"/>
    <w:rsid w:val="00910F75"/>
    <w:rsid w:val="009115D6"/>
    <w:rsid w:val="00912E8B"/>
    <w:rsid w:val="00913EEA"/>
    <w:rsid w:val="00914617"/>
    <w:rsid w:val="00915CF5"/>
    <w:rsid w:val="009161C4"/>
    <w:rsid w:val="00917639"/>
    <w:rsid w:val="00922342"/>
    <w:rsid w:val="00923160"/>
    <w:rsid w:val="00923C91"/>
    <w:rsid w:val="0092549B"/>
    <w:rsid w:val="0092632C"/>
    <w:rsid w:val="00927E19"/>
    <w:rsid w:val="00927EC6"/>
    <w:rsid w:val="00932DF7"/>
    <w:rsid w:val="00934411"/>
    <w:rsid w:val="00934C55"/>
    <w:rsid w:val="00935294"/>
    <w:rsid w:val="00935732"/>
    <w:rsid w:val="0093677C"/>
    <w:rsid w:val="00936ADB"/>
    <w:rsid w:val="00936E0A"/>
    <w:rsid w:val="00937A47"/>
    <w:rsid w:val="0094064C"/>
    <w:rsid w:val="00941050"/>
    <w:rsid w:val="00941136"/>
    <w:rsid w:val="0094174F"/>
    <w:rsid w:val="0094191C"/>
    <w:rsid w:val="00942670"/>
    <w:rsid w:val="009445BD"/>
    <w:rsid w:val="0094536E"/>
    <w:rsid w:val="00946DD0"/>
    <w:rsid w:val="009479CF"/>
    <w:rsid w:val="00950727"/>
    <w:rsid w:val="00950B7C"/>
    <w:rsid w:val="009512CB"/>
    <w:rsid w:val="00951AF4"/>
    <w:rsid w:val="00952B56"/>
    <w:rsid w:val="00953F6A"/>
    <w:rsid w:val="00954884"/>
    <w:rsid w:val="00955335"/>
    <w:rsid w:val="009579B9"/>
    <w:rsid w:val="00960005"/>
    <w:rsid w:val="0096051C"/>
    <w:rsid w:val="009613B4"/>
    <w:rsid w:val="00962058"/>
    <w:rsid w:val="009621B1"/>
    <w:rsid w:val="00962FBE"/>
    <w:rsid w:val="009635B6"/>
    <w:rsid w:val="00963E9B"/>
    <w:rsid w:val="00970248"/>
    <w:rsid w:val="0097097E"/>
    <w:rsid w:val="00970BDC"/>
    <w:rsid w:val="009722F5"/>
    <w:rsid w:val="00973554"/>
    <w:rsid w:val="009743E1"/>
    <w:rsid w:val="0097472C"/>
    <w:rsid w:val="0097656C"/>
    <w:rsid w:val="00976B3B"/>
    <w:rsid w:val="00976C60"/>
    <w:rsid w:val="00980076"/>
    <w:rsid w:val="009808F6"/>
    <w:rsid w:val="00985686"/>
    <w:rsid w:val="009856B5"/>
    <w:rsid w:val="00985DCB"/>
    <w:rsid w:val="00985F85"/>
    <w:rsid w:val="009867BD"/>
    <w:rsid w:val="00986D97"/>
    <w:rsid w:val="00987CED"/>
    <w:rsid w:val="00990B93"/>
    <w:rsid w:val="00990FF8"/>
    <w:rsid w:val="00992B7E"/>
    <w:rsid w:val="009931BE"/>
    <w:rsid w:val="009937F9"/>
    <w:rsid w:val="0099415E"/>
    <w:rsid w:val="0099421C"/>
    <w:rsid w:val="0099426D"/>
    <w:rsid w:val="00995D6E"/>
    <w:rsid w:val="009969BE"/>
    <w:rsid w:val="00997385"/>
    <w:rsid w:val="00997F7C"/>
    <w:rsid w:val="009A03D6"/>
    <w:rsid w:val="009A0720"/>
    <w:rsid w:val="009A0B54"/>
    <w:rsid w:val="009A3385"/>
    <w:rsid w:val="009A4A3D"/>
    <w:rsid w:val="009A5AC2"/>
    <w:rsid w:val="009A5CB7"/>
    <w:rsid w:val="009A62AD"/>
    <w:rsid w:val="009B081B"/>
    <w:rsid w:val="009B26A2"/>
    <w:rsid w:val="009B74F3"/>
    <w:rsid w:val="009C0416"/>
    <w:rsid w:val="009C0DF8"/>
    <w:rsid w:val="009C27C0"/>
    <w:rsid w:val="009C3E61"/>
    <w:rsid w:val="009C45CC"/>
    <w:rsid w:val="009C54BD"/>
    <w:rsid w:val="009C5BE2"/>
    <w:rsid w:val="009C5FFF"/>
    <w:rsid w:val="009C772C"/>
    <w:rsid w:val="009C7B02"/>
    <w:rsid w:val="009D0EE6"/>
    <w:rsid w:val="009D1843"/>
    <w:rsid w:val="009D299C"/>
    <w:rsid w:val="009D29E4"/>
    <w:rsid w:val="009D4DEB"/>
    <w:rsid w:val="009D5471"/>
    <w:rsid w:val="009D6C7D"/>
    <w:rsid w:val="009D79F3"/>
    <w:rsid w:val="009D7B54"/>
    <w:rsid w:val="009E0F39"/>
    <w:rsid w:val="009E3D49"/>
    <w:rsid w:val="009E4303"/>
    <w:rsid w:val="009E50F7"/>
    <w:rsid w:val="009E544A"/>
    <w:rsid w:val="009E564B"/>
    <w:rsid w:val="009E5EF1"/>
    <w:rsid w:val="009E5FD5"/>
    <w:rsid w:val="009E6238"/>
    <w:rsid w:val="009E723B"/>
    <w:rsid w:val="009E7275"/>
    <w:rsid w:val="009F0393"/>
    <w:rsid w:val="009F0B29"/>
    <w:rsid w:val="009F28BA"/>
    <w:rsid w:val="009F2A31"/>
    <w:rsid w:val="009F2EC1"/>
    <w:rsid w:val="009F39D6"/>
    <w:rsid w:val="009F444D"/>
    <w:rsid w:val="009F4618"/>
    <w:rsid w:val="009F4A5D"/>
    <w:rsid w:val="009F4DDC"/>
    <w:rsid w:val="009F6149"/>
    <w:rsid w:val="009F63CE"/>
    <w:rsid w:val="009F64D7"/>
    <w:rsid w:val="009F6847"/>
    <w:rsid w:val="009F6A4B"/>
    <w:rsid w:val="009F6E07"/>
    <w:rsid w:val="009F7174"/>
    <w:rsid w:val="00A002C8"/>
    <w:rsid w:val="00A01E1F"/>
    <w:rsid w:val="00A02478"/>
    <w:rsid w:val="00A02771"/>
    <w:rsid w:val="00A02797"/>
    <w:rsid w:val="00A02D10"/>
    <w:rsid w:val="00A0553E"/>
    <w:rsid w:val="00A055E7"/>
    <w:rsid w:val="00A10388"/>
    <w:rsid w:val="00A115DB"/>
    <w:rsid w:val="00A12A74"/>
    <w:rsid w:val="00A12AE3"/>
    <w:rsid w:val="00A143C0"/>
    <w:rsid w:val="00A15831"/>
    <w:rsid w:val="00A15977"/>
    <w:rsid w:val="00A174C0"/>
    <w:rsid w:val="00A17AC1"/>
    <w:rsid w:val="00A21488"/>
    <w:rsid w:val="00A220AD"/>
    <w:rsid w:val="00A2268B"/>
    <w:rsid w:val="00A228AA"/>
    <w:rsid w:val="00A2291F"/>
    <w:rsid w:val="00A23858"/>
    <w:rsid w:val="00A25467"/>
    <w:rsid w:val="00A25B7A"/>
    <w:rsid w:val="00A26A1A"/>
    <w:rsid w:val="00A26A4A"/>
    <w:rsid w:val="00A26DBE"/>
    <w:rsid w:val="00A27331"/>
    <w:rsid w:val="00A30B9C"/>
    <w:rsid w:val="00A316D3"/>
    <w:rsid w:val="00A3194D"/>
    <w:rsid w:val="00A34602"/>
    <w:rsid w:val="00A346BB"/>
    <w:rsid w:val="00A3517E"/>
    <w:rsid w:val="00A35EE4"/>
    <w:rsid w:val="00A366FE"/>
    <w:rsid w:val="00A37561"/>
    <w:rsid w:val="00A407D0"/>
    <w:rsid w:val="00A42CC5"/>
    <w:rsid w:val="00A440E6"/>
    <w:rsid w:val="00A44210"/>
    <w:rsid w:val="00A442F5"/>
    <w:rsid w:val="00A4479A"/>
    <w:rsid w:val="00A449A5"/>
    <w:rsid w:val="00A45C52"/>
    <w:rsid w:val="00A46008"/>
    <w:rsid w:val="00A4621E"/>
    <w:rsid w:val="00A464E6"/>
    <w:rsid w:val="00A46818"/>
    <w:rsid w:val="00A47555"/>
    <w:rsid w:val="00A47781"/>
    <w:rsid w:val="00A47E2A"/>
    <w:rsid w:val="00A50665"/>
    <w:rsid w:val="00A50C3A"/>
    <w:rsid w:val="00A50D35"/>
    <w:rsid w:val="00A523DA"/>
    <w:rsid w:val="00A529B2"/>
    <w:rsid w:val="00A52EC4"/>
    <w:rsid w:val="00A53F7E"/>
    <w:rsid w:val="00A53F81"/>
    <w:rsid w:val="00A54A12"/>
    <w:rsid w:val="00A55EF4"/>
    <w:rsid w:val="00A57FC6"/>
    <w:rsid w:val="00A61741"/>
    <w:rsid w:val="00A61D30"/>
    <w:rsid w:val="00A631D5"/>
    <w:rsid w:val="00A63A4A"/>
    <w:rsid w:val="00A63B84"/>
    <w:rsid w:val="00A63EC1"/>
    <w:rsid w:val="00A64769"/>
    <w:rsid w:val="00A6494C"/>
    <w:rsid w:val="00A6500C"/>
    <w:rsid w:val="00A65BA8"/>
    <w:rsid w:val="00A66FBB"/>
    <w:rsid w:val="00A67423"/>
    <w:rsid w:val="00A67795"/>
    <w:rsid w:val="00A67ACC"/>
    <w:rsid w:val="00A67C80"/>
    <w:rsid w:val="00A67FBB"/>
    <w:rsid w:val="00A7292F"/>
    <w:rsid w:val="00A742DB"/>
    <w:rsid w:val="00A74542"/>
    <w:rsid w:val="00A750E4"/>
    <w:rsid w:val="00A76F5C"/>
    <w:rsid w:val="00A7773E"/>
    <w:rsid w:val="00A80AAE"/>
    <w:rsid w:val="00A80F68"/>
    <w:rsid w:val="00A81614"/>
    <w:rsid w:val="00A81670"/>
    <w:rsid w:val="00A829D2"/>
    <w:rsid w:val="00A8373C"/>
    <w:rsid w:val="00A847A6"/>
    <w:rsid w:val="00A84F01"/>
    <w:rsid w:val="00A85159"/>
    <w:rsid w:val="00A8529B"/>
    <w:rsid w:val="00A868C5"/>
    <w:rsid w:val="00A9021E"/>
    <w:rsid w:val="00A90CBA"/>
    <w:rsid w:val="00A91428"/>
    <w:rsid w:val="00A92161"/>
    <w:rsid w:val="00A924F5"/>
    <w:rsid w:val="00A92E49"/>
    <w:rsid w:val="00A9318B"/>
    <w:rsid w:val="00A935DC"/>
    <w:rsid w:val="00A93FE3"/>
    <w:rsid w:val="00A94CC6"/>
    <w:rsid w:val="00A9562E"/>
    <w:rsid w:val="00A97525"/>
    <w:rsid w:val="00AA0914"/>
    <w:rsid w:val="00AA3137"/>
    <w:rsid w:val="00AA385F"/>
    <w:rsid w:val="00AA3DAF"/>
    <w:rsid w:val="00AA415D"/>
    <w:rsid w:val="00AA4778"/>
    <w:rsid w:val="00AA5267"/>
    <w:rsid w:val="00AA56CE"/>
    <w:rsid w:val="00AA636B"/>
    <w:rsid w:val="00AA67B1"/>
    <w:rsid w:val="00AA6C80"/>
    <w:rsid w:val="00AA78EB"/>
    <w:rsid w:val="00AA7C56"/>
    <w:rsid w:val="00AB4DBD"/>
    <w:rsid w:val="00AB5A9E"/>
    <w:rsid w:val="00AC10A2"/>
    <w:rsid w:val="00AC263C"/>
    <w:rsid w:val="00AC30C2"/>
    <w:rsid w:val="00AC34D4"/>
    <w:rsid w:val="00AC4066"/>
    <w:rsid w:val="00AC566C"/>
    <w:rsid w:val="00AC7C23"/>
    <w:rsid w:val="00AD0ACE"/>
    <w:rsid w:val="00AD12CE"/>
    <w:rsid w:val="00AD288E"/>
    <w:rsid w:val="00AD2902"/>
    <w:rsid w:val="00AD2D07"/>
    <w:rsid w:val="00AD2D9F"/>
    <w:rsid w:val="00AD344A"/>
    <w:rsid w:val="00AD51D5"/>
    <w:rsid w:val="00AD555F"/>
    <w:rsid w:val="00AD5F05"/>
    <w:rsid w:val="00AD6806"/>
    <w:rsid w:val="00AE02AE"/>
    <w:rsid w:val="00AE276F"/>
    <w:rsid w:val="00AE2A26"/>
    <w:rsid w:val="00AE3100"/>
    <w:rsid w:val="00AE3987"/>
    <w:rsid w:val="00AE3DD1"/>
    <w:rsid w:val="00AE4C14"/>
    <w:rsid w:val="00AE5C88"/>
    <w:rsid w:val="00AF1312"/>
    <w:rsid w:val="00AF1715"/>
    <w:rsid w:val="00AF17C8"/>
    <w:rsid w:val="00AF2ADB"/>
    <w:rsid w:val="00AF2B62"/>
    <w:rsid w:val="00AF2EBF"/>
    <w:rsid w:val="00AF5B21"/>
    <w:rsid w:val="00AF627E"/>
    <w:rsid w:val="00AF7C9E"/>
    <w:rsid w:val="00B006A3"/>
    <w:rsid w:val="00B010DE"/>
    <w:rsid w:val="00B02CB6"/>
    <w:rsid w:val="00B03CBB"/>
    <w:rsid w:val="00B04FA5"/>
    <w:rsid w:val="00B04FFB"/>
    <w:rsid w:val="00B06852"/>
    <w:rsid w:val="00B07A54"/>
    <w:rsid w:val="00B1090C"/>
    <w:rsid w:val="00B12766"/>
    <w:rsid w:val="00B12DBF"/>
    <w:rsid w:val="00B13BC9"/>
    <w:rsid w:val="00B14042"/>
    <w:rsid w:val="00B141A1"/>
    <w:rsid w:val="00B14ED6"/>
    <w:rsid w:val="00B154F1"/>
    <w:rsid w:val="00B161E3"/>
    <w:rsid w:val="00B16684"/>
    <w:rsid w:val="00B16938"/>
    <w:rsid w:val="00B171E8"/>
    <w:rsid w:val="00B17BFF"/>
    <w:rsid w:val="00B17CFF"/>
    <w:rsid w:val="00B21C51"/>
    <w:rsid w:val="00B21CA5"/>
    <w:rsid w:val="00B225CF"/>
    <w:rsid w:val="00B2297C"/>
    <w:rsid w:val="00B22BD2"/>
    <w:rsid w:val="00B235CB"/>
    <w:rsid w:val="00B24695"/>
    <w:rsid w:val="00B24DEB"/>
    <w:rsid w:val="00B265D5"/>
    <w:rsid w:val="00B27045"/>
    <w:rsid w:val="00B277D7"/>
    <w:rsid w:val="00B3015A"/>
    <w:rsid w:val="00B3083A"/>
    <w:rsid w:val="00B32104"/>
    <w:rsid w:val="00B32F8B"/>
    <w:rsid w:val="00B36212"/>
    <w:rsid w:val="00B36A92"/>
    <w:rsid w:val="00B36C41"/>
    <w:rsid w:val="00B37C85"/>
    <w:rsid w:val="00B40190"/>
    <w:rsid w:val="00B4025A"/>
    <w:rsid w:val="00B4090B"/>
    <w:rsid w:val="00B40FC2"/>
    <w:rsid w:val="00B410A3"/>
    <w:rsid w:val="00B41C18"/>
    <w:rsid w:val="00B444AC"/>
    <w:rsid w:val="00B44A49"/>
    <w:rsid w:val="00B44B0B"/>
    <w:rsid w:val="00B47195"/>
    <w:rsid w:val="00B47700"/>
    <w:rsid w:val="00B477C1"/>
    <w:rsid w:val="00B47B13"/>
    <w:rsid w:val="00B505F3"/>
    <w:rsid w:val="00B50D27"/>
    <w:rsid w:val="00B51097"/>
    <w:rsid w:val="00B51298"/>
    <w:rsid w:val="00B51977"/>
    <w:rsid w:val="00B5294E"/>
    <w:rsid w:val="00B53FEE"/>
    <w:rsid w:val="00B54274"/>
    <w:rsid w:val="00B54755"/>
    <w:rsid w:val="00B55119"/>
    <w:rsid w:val="00B55212"/>
    <w:rsid w:val="00B55E22"/>
    <w:rsid w:val="00B56260"/>
    <w:rsid w:val="00B6003C"/>
    <w:rsid w:val="00B60850"/>
    <w:rsid w:val="00B627C6"/>
    <w:rsid w:val="00B63EAB"/>
    <w:rsid w:val="00B6486E"/>
    <w:rsid w:val="00B65250"/>
    <w:rsid w:val="00B65AAC"/>
    <w:rsid w:val="00B65CE1"/>
    <w:rsid w:val="00B66989"/>
    <w:rsid w:val="00B66BBB"/>
    <w:rsid w:val="00B71577"/>
    <w:rsid w:val="00B71B0E"/>
    <w:rsid w:val="00B7207B"/>
    <w:rsid w:val="00B725C7"/>
    <w:rsid w:val="00B742BA"/>
    <w:rsid w:val="00B743A2"/>
    <w:rsid w:val="00B74D31"/>
    <w:rsid w:val="00B75627"/>
    <w:rsid w:val="00B80282"/>
    <w:rsid w:val="00B80327"/>
    <w:rsid w:val="00B80A9A"/>
    <w:rsid w:val="00B82FF7"/>
    <w:rsid w:val="00B832B8"/>
    <w:rsid w:val="00B83BF0"/>
    <w:rsid w:val="00B85B02"/>
    <w:rsid w:val="00B87ACE"/>
    <w:rsid w:val="00B901B1"/>
    <w:rsid w:val="00B90CCD"/>
    <w:rsid w:val="00B93003"/>
    <w:rsid w:val="00B9388C"/>
    <w:rsid w:val="00B97377"/>
    <w:rsid w:val="00BA016A"/>
    <w:rsid w:val="00BA08ED"/>
    <w:rsid w:val="00BA09D7"/>
    <w:rsid w:val="00BA1ACF"/>
    <w:rsid w:val="00BA2913"/>
    <w:rsid w:val="00BA320F"/>
    <w:rsid w:val="00BA3CCD"/>
    <w:rsid w:val="00BA5444"/>
    <w:rsid w:val="00BB0CDA"/>
    <w:rsid w:val="00BB0D93"/>
    <w:rsid w:val="00BB12DF"/>
    <w:rsid w:val="00BB1700"/>
    <w:rsid w:val="00BB1EB5"/>
    <w:rsid w:val="00BB1F2B"/>
    <w:rsid w:val="00BB2016"/>
    <w:rsid w:val="00BB4B65"/>
    <w:rsid w:val="00BB5080"/>
    <w:rsid w:val="00BB5424"/>
    <w:rsid w:val="00BB6475"/>
    <w:rsid w:val="00BB6885"/>
    <w:rsid w:val="00BB6AEA"/>
    <w:rsid w:val="00BB7431"/>
    <w:rsid w:val="00BB75E1"/>
    <w:rsid w:val="00BB7862"/>
    <w:rsid w:val="00BC02DD"/>
    <w:rsid w:val="00BC0589"/>
    <w:rsid w:val="00BC05D2"/>
    <w:rsid w:val="00BC0F1A"/>
    <w:rsid w:val="00BC2083"/>
    <w:rsid w:val="00BC24A0"/>
    <w:rsid w:val="00BC2598"/>
    <w:rsid w:val="00BC4AE3"/>
    <w:rsid w:val="00BC50DD"/>
    <w:rsid w:val="00BC524B"/>
    <w:rsid w:val="00BC5376"/>
    <w:rsid w:val="00BC6530"/>
    <w:rsid w:val="00BC7140"/>
    <w:rsid w:val="00BC75CB"/>
    <w:rsid w:val="00BD09F2"/>
    <w:rsid w:val="00BD0FCF"/>
    <w:rsid w:val="00BD1872"/>
    <w:rsid w:val="00BD1B45"/>
    <w:rsid w:val="00BD2197"/>
    <w:rsid w:val="00BD3C8E"/>
    <w:rsid w:val="00BD3D8A"/>
    <w:rsid w:val="00BD3DE6"/>
    <w:rsid w:val="00BD4C7C"/>
    <w:rsid w:val="00BD5B64"/>
    <w:rsid w:val="00BD6A44"/>
    <w:rsid w:val="00BD745E"/>
    <w:rsid w:val="00BD7542"/>
    <w:rsid w:val="00BD7850"/>
    <w:rsid w:val="00BE3D15"/>
    <w:rsid w:val="00BE3D6F"/>
    <w:rsid w:val="00BE44F5"/>
    <w:rsid w:val="00BE4A0A"/>
    <w:rsid w:val="00BE4CAD"/>
    <w:rsid w:val="00BE5113"/>
    <w:rsid w:val="00BE7281"/>
    <w:rsid w:val="00BF2038"/>
    <w:rsid w:val="00BF218B"/>
    <w:rsid w:val="00BF32A9"/>
    <w:rsid w:val="00BF360C"/>
    <w:rsid w:val="00BF4596"/>
    <w:rsid w:val="00BF6BD1"/>
    <w:rsid w:val="00BF7638"/>
    <w:rsid w:val="00C00AA2"/>
    <w:rsid w:val="00C0147F"/>
    <w:rsid w:val="00C02BAE"/>
    <w:rsid w:val="00C07CD1"/>
    <w:rsid w:val="00C07E81"/>
    <w:rsid w:val="00C10244"/>
    <w:rsid w:val="00C11429"/>
    <w:rsid w:val="00C12EA7"/>
    <w:rsid w:val="00C151B4"/>
    <w:rsid w:val="00C166AE"/>
    <w:rsid w:val="00C16CCE"/>
    <w:rsid w:val="00C17092"/>
    <w:rsid w:val="00C201C6"/>
    <w:rsid w:val="00C21FAB"/>
    <w:rsid w:val="00C22142"/>
    <w:rsid w:val="00C23257"/>
    <w:rsid w:val="00C23A06"/>
    <w:rsid w:val="00C2406F"/>
    <w:rsid w:val="00C24513"/>
    <w:rsid w:val="00C24BF9"/>
    <w:rsid w:val="00C251D9"/>
    <w:rsid w:val="00C25374"/>
    <w:rsid w:val="00C26194"/>
    <w:rsid w:val="00C26B24"/>
    <w:rsid w:val="00C27887"/>
    <w:rsid w:val="00C27FD5"/>
    <w:rsid w:val="00C30EFF"/>
    <w:rsid w:val="00C31684"/>
    <w:rsid w:val="00C31EE4"/>
    <w:rsid w:val="00C32FBD"/>
    <w:rsid w:val="00C33F1F"/>
    <w:rsid w:val="00C34A05"/>
    <w:rsid w:val="00C351F0"/>
    <w:rsid w:val="00C35605"/>
    <w:rsid w:val="00C35707"/>
    <w:rsid w:val="00C36A68"/>
    <w:rsid w:val="00C4042A"/>
    <w:rsid w:val="00C409A9"/>
    <w:rsid w:val="00C40B67"/>
    <w:rsid w:val="00C41049"/>
    <w:rsid w:val="00C43845"/>
    <w:rsid w:val="00C43A19"/>
    <w:rsid w:val="00C43C23"/>
    <w:rsid w:val="00C440E5"/>
    <w:rsid w:val="00C44921"/>
    <w:rsid w:val="00C4586D"/>
    <w:rsid w:val="00C459F4"/>
    <w:rsid w:val="00C463E1"/>
    <w:rsid w:val="00C46A84"/>
    <w:rsid w:val="00C473DC"/>
    <w:rsid w:val="00C47AD4"/>
    <w:rsid w:val="00C50351"/>
    <w:rsid w:val="00C507B3"/>
    <w:rsid w:val="00C508D2"/>
    <w:rsid w:val="00C5104C"/>
    <w:rsid w:val="00C51793"/>
    <w:rsid w:val="00C519A7"/>
    <w:rsid w:val="00C519CC"/>
    <w:rsid w:val="00C528AE"/>
    <w:rsid w:val="00C554B5"/>
    <w:rsid w:val="00C55EF4"/>
    <w:rsid w:val="00C57421"/>
    <w:rsid w:val="00C576D9"/>
    <w:rsid w:val="00C57BFA"/>
    <w:rsid w:val="00C608F5"/>
    <w:rsid w:val="00C60929"/>
    <w:rsid w:val="00C60CF3"/>
    <w:rsid w:val="00C61C49"/>
    <w:rsid w:val="00C624B2"/>
    <w:rsid w:val="00C62A4F"/>
    <w:rsid w:val="00C6333D"/>
    <w:rsid w:val="00C6458E"/>
    <w:rsid w:val="00C66026"/>
    <w:rsid w:val="00C66F27"/>
    <w:rsid w:val="00C70130"/>
    <w:rsid w:val="00C719D9"/>
    <w:rsid w:val="00C73580"/>
    <w:rsid w:val="00C74597"/>
    <w:rsid w:val="00C77D36"/>
    <w:rsid w:val="00C8038C"/>
    <w:rsid w:val="00C80FA0"/>
    <w:rsid w:val="00C814DC"/>
    <w:rsid w:val="00C82EF8"/>
    <w:rsid w:val="00C83483"/>
    <w:rsid w:val="00C83CBE"/>
    <w:rsid w:val="00C83DE7"/>
    <w:rsid w:val="00C84CC2"/>
    <w:rsid w:val="00C863A3"/>
    <w:rsid w:val="00C8771B"/>
    <w:rsid w:val="00C90001"/>
    <w:rsid w:val="00C902EE"/>
    <w:rsid w:val="00C90767"/>
    <w:rsid w:val="00C91A0F"/>
    <w:rsid w:val="00C9446E"/>
    <w:rsid w:val="00C94634"/>
    <w:rsid w:val="00C94F66"/>
    <w:rsid w:val="00C94FFC"/>
    <w:rsid w:val="00C95E39"/>
    <w:rsid w:val="00C974A4"/>
    <w:rsid w:val="00C9795E"/>
    <w:rsid w:val="00C97985"/>
    <w:rsid w:val="00C97BCA"/>
    <w:rsid w:val="00CA08DE"/>
    <w:rsid w:val="00CA0FAF"/>
    <w:rsid w:val="00CA285B"/>
    <w:rsid w:val="00CA3818"/>
    <w:rsid w:val="00CA3ADE"/>
    <w:rsid w:val="00CA4BDA"/>
    <w:rsid w:val="00CA5545"/>
    <w:rsid w:val="00CA5BCF"/>
    <w:rsid w:val="00CA61B6"/>
    <w:rsid w:val="00CA7859"/>
    <w:rsid w:val="00CB13D1"/>
    <w:rsid w:val="00CB25CD"/>
    <w:rsid w:val="00CB302B"/>
    <w:rsid w:val="00CB309B"/>
    <w:rsid w:val="00CB3261"/>
    <w:rsid w:val="00CB336C"/>
    <w:rsid w:val="00CB5CEF"/>
    <w:rsid w:val="00CB6711"/>
    <w:rsid w:val="00CC1898"/>
    <w:rsid w:val="00CC234C"/>
    <w:rsid w:val="00CC301D"/>
    <w:rsid w:val="00CC374A"/>
    <w:rsid w:val="00CC4860"/>
    <w:rsid w:val="00CC5114"/>
    <w:rsid w:val="00CC5BB1"/>
    <w:rsid w:val="00CC74AB"/>
    <w:rsid w:val="00CD02F7"/>
    <w:rsid w:val="00CD1B1F"/>
    <w:rsid w:val="00CD296F"/>
    <w:rsid w:val="00CD33D7"/>
    <w:rsid w:val="00CD474E"/>
    <w:rsid w:val="00CD70FD"/>
    <w:rsid w:val="00CD7FDE"/>
    <w:rsid w:val="00CE0788"/>
    <w:rsid w:val="00CE1498"/>
    <w:rsid w:val="00CE16BA"/>
    <w:rsid w:val="00CE1D48"/>
    <w:rsid w:val="00CE2297"/>
    <w:rsid w:val="00CE2BDB"/>
    <w:rsid w:val="00CE3CAF"/>
    <w:rsid w:val="00CE5037"/>
    <w:rsid w:val="00CE6C77"/>
    <w:rsid w:val="00CE70E3"/>
    <w:rsid w:val="00CE76B1"/>
    <w:rsid w:val="00CE78E8"/>
    <w:rsid w:val="00CE7C95"/>
    <w:rsid w:val="00CF0415"/>
    <w:rsid w:val="00CF146B"/>
    <w:rsid w:val="00CF4035"/>
    <w:rsid w:val="00CF512C"/>
    <w:rsid w:val="00CF5144"/>
    <w:rsid w:val="00CF6272"/>
    <w:rsid w:val="00CF77AE"/>
    <w:rsid w:val="00D00E32"/>
    <w:rsid w:val="00D00EE5"/>
    <w:rsid w:val="00D0305E"/>
    <w:rsid w:val="00D03EAB"/>
    <w:rsid w:val="00D03FAB"/>
    <w:rsid w:val="00D06B4F"/>
    <w:rsid w:val="00D106ED"/>
    <w:rsid w:val="00D13DCF"/>
    <w:rsid w:val="00D14A04"/>
    <w:rsid w:val="00D15185"/>
    <w:rsid w:val="00D16676"/>
    <w:rsid w:val="00D17356"/>
    <w:rsid w:val="00D209EF"/>
    <w:rsid w:val="00D21F65"/>
    <w:rsid w:val="00D22967"/>
    <w:rsid w:val="00D243B9"/>
    <w:rsid w:val="00D24F92"/>
    <w:rsid w:val="00D270C8"/>
    <w:rsid w:val="00D31AF3"/>
    <w:rsid w:val="00D3216F"/>
    <w:rsid w:val="00D32ABF"/>
    <w:rsid w:val="00D334C7"/>
    <w:rsid w:val="00D35EB9"/>
    <w:rsid w:val="00D36DDD"/>
    <w:rsid w:val="00D37BF9"/>
    <w:rsid w:val="00D40ADD"/>
    <w:rsid w:val="00D4174B"/>
    <w:rsid w:val="00D421B3"/>
    <w:rsid w:val="00D4393A"/>
    <w:rsid w:val="00D4407F"/>
    <w:rsid w:val="00D44634"/>
    <w:rsid w:val="00D448AC"/>
    <w:rsid w:val="00D47B8C"/>
    <w:rsid w:val="00D5002A"/>
    <w:rsid w:val="00D50B20"/>
    <w:rsid w:val="00D52974"/>
    <w:rsid w:val="00D52F3C"/>
    <w:rsid w:val="00D52F65"/>
    <w:rsid w:val="00D55E4B"/>
    <w:rsid w:val="00D5607C"/>
    <w:rsid w:val="00D56F98"/>
    <w:rsid w:val="00D573D6"/>
    <w:rsid w:val="00D603EC"/>
    <w:rsid w:val="00D60A52"/>
    <w:rsid w:val="00D62945"/>
    <w:rsid w:val="00D6297F"/>
    <w:rsid w:val="00D64C62"/>
    <w:rsid w:val="00D653C3"/>
    <w:rsid w:val="00D65F19"/>
    <w:rsid w:val="00D6717C"/>
    <w:rsid w:val="00D67650"/>
    <w:rsid w:val="00D70929"/>
    <w:rsid w:val="00D70A12"/>
    <w:rsid w:val="00D719CF"/>
    <w:rsid w:val="00D72248"/>
    <w:rsid w:val="00D7691B"/>
    <w:rsid w:val="00D8080B"/>
    <w:rsid w:val="00D81291"/>
    <w:rsid w:val="00D81F82"/>
    <w:rsid w:val="00D82A12"/>
    <w:rsid w:val="00D84D4A"/>
    <w:rsid w:val="00D84D4B"/>
    <w:rsid w:val="00D85483"/>
    <w:rsid w:val="00D8597F"/>
    <w:rsid w:val="00D8601B"/>
    <w:rsid w:val="00D9035E"/>
    <w:rsid w:val="00D9114B"/>
    <w:rsid w:val="00D92A5A"/>
    <w:rsid w:val="00D9319B"/>
    <w:rsid w:val="00D935F2"/>
    <w:rsid w:val="00D940A2"/>
    <w:rsid w:val="00D94247"/>
    <w:rsid w:val="00D944FA"/>
    <w:rsid w:val="00D96771"/>
    <w:rsid w:val="00D970C3"/>
    <w:rsid w:val="00D97F4F"/>
    <w:rsid w:val="00DA000A"/>
    <w:rsid w:val="00DA049B"/>
    <w:rsid w:val="00DA0DF6"/>
    <w:rsid w:val="00DA1AC1"/>
    <w:rsid w:val="00DA2A57"/>
    <w:rsid w:val="00DA2F48"/>
    <w:rsid w:val="00DA3D27"/>
    <w:rsid w:val="00DA3F8E"/>
    <w:rsid w:val="00DA5042"/>
    <w:rsid w:val="00DA546F"/>
    <w:rsid w:val="00DA713C"/>
    <w:rsid w:val="00DA779C"/>
    <w:rsid w:val="00DB203F"/>
    <w:rsid w:val="00DB2AB4"/>
    <w:rsid w:val="00DB330E"/>
    <w:rsid w:val="00DB3467"/>
    <w:rsid w:val="00DB49F8"/>
    <w:rsid w:val="00DB4D88"/>
    <w:rsid w:val="00DB4FDB"/>
    <w:rsid w:val="00DC0F47"/>
    <w:rsid w:val="00DC179F"/>
    <w:rsid w:val="00DC21DD"/>
    <w:rsid w:val="00DC24EE"/>
    <w:rsid w:val="00DC2D60"/>
    <w:rsid w:val="00DC3675"/>
    <w:rsid w:val="00DC4D4F"/>
    <w:rsid w:val="00DC578F"/>
    <w:rsid w:val="00DC6DCE"/>
    <w:rsid w:val="00DC7257"/>
    <w:rsid w:val="00DC7666"/>
    <w:rsid w:val="00DC7994"/>
    <w:rsid w:val="00DD1B45"/>
    <w:rsid w:val="00DD1CD6"/>
    <w:rsid w:val="00DD62AC"/>
    <w:rsid w:val="00DD67BF"/>
    <w:rsid w:val="00DD7997"/>
    <w:rsid w:val="00DD7CA8"/>
    <w:rsid w:val="00DD7F3B"/>
    <w:rsid w:val="00DE100E"/>
    <w:rsid w:val="00DE24AB"/>
    <w:rsid w:val="00DE38C7"/>
    <w:rsid w:val="00DE4C5E"/>
    <w:rsid w:val="00DE6AD7"/>
    <w:rsid w:val="00DE7076"/>
    <w:rsid w:val="00DF0830"/>
    <w:rsid w:val="00DF207F"/>
    <w:rsid w:val="00DF2350"/>
    <w:rsid w:val="00DF4386"/>
    <w:rsid w:val="00DF4770"/>
    <w:rsid w:val="00DF5571"/>
    <w:rsid w:val="00DF56C4"/>
    <w:rsid w:val="00DF611B"/>
    <w:rsid w:val="00DF70A8"/>
    <w:rsid w:val="00E001A2"/>
    <w:rsid w:val="00E0175A"/>
    <w:rsid w:val="00E01A78"/>
    <w:rsid w:val="00E023A3"/>
    <w:rsid w:val="00E03C96"/>
    <w:rsid w:val="00E0656E"/>
    <w:rsid w:val="00E06A52"/>
    <w:rsid w:val="00E07C52"/>
    <w:rsid w:val="00E10327"/>
    <w:rsid w:val="00E10A8E"/>
    <w:rsid w:val="00E10F0A"/>
    <w:rsid w:val="00E11191"/>
    <w:rsid w:val="00E112F2"/>
    <w:rsid w:val="00E122BF"/>
    <w:rsid w:val="00E1315C"/>
    <w:rsid w:val="00E157E1"/>
    <w:rsid w:val="00E16E69"/>
    <w:rsid w:val="00E21376"/>
    <w:rsid w:val="00E21A7A"/>
    <w:rsid w:val="00E2200A"/>
    <w:rsid w:val="00E23157"/>
    <w:rsid w:val="00E248D2"/>
    <w:rsid w:val="00E26E96"/>
    <w:rsid w:val="00E30394"/>
    <w:rsid w:val="00E3498D"/>
    <w:rsid w:val="00E34D23"/>
    <w:rsid w:val="00E3536D"/>
    <w:rsid w:val="00E354F4"/>
    <w:rsid w:val="00E355BA"/>
    <w:rsid w:val="00E35841"/>
    <w:rsid w:val="00E3585F"/>
    <w:rsid w:val="00E358FF"/>
    <w:rsid w:val="00E35B37"/>
    <w:rsid w:val="00E36A2D"/>
    <w:rsid w:val="00E36D1D"/>
    <w:rsid w:val="00E426AD"/>
    <w:rsid w:val="00E43D53"/>
    <w:rsid w:val="00E442EF"/>
    <w:rsid w:val="00E4464E"/>
    <w:rsid w:val="00E4543D"/>
    <w:rsid w:val="00E459CE"/>
    <w:rsid w:val="00E45A3A"/>
    <w:rsid w:val="00E47FB8"/>
    <w:rsid w:val="00E50187"/>
    <w:rsid w:val="00E51D91"/>
    <w:rsid w:val="00E52511"/>
    <w:rsid w:val="00E528B7"/>
    <w:rsid w:val="00E52C79"/>
    <w:rsid w:val="00E53072"/>
    <w:rsid w:val="00E53F5C"/>
    <w:rsid w:val="00E53FEF"/>
    <w:rsid w:val="00E54235"/>
    <w:rsid w:val="00E544DF"/>
    <w:rsid w:val="00E551A4"/>
    <w:rsid w:val="00E56343"/>
    <w:rsid w:val="00E57C97"/>
    <w:rsid w:val="00E60145"/>
    <w:rsid w:val="00E64028"/>
    <w:rsid w:val="00E64D4D"/>
    <w:rsid w:val="00E64E40"/>
    <w:rsid w:val="00E66814"/>
    <w:rsid w:val="00E71700"/>
    <w:rsid w:val="00E71C11"/>
    <w:rsid w:val="00E73FFA"/>
    <w:rsid w:val="00E776A5"/>
    <w:rsid w:val="00E80550"/>
    <w:rsid w:val="00E80EED"/>
    <w:rsid w:val="00E82222"/>
    <w:rsid w:val="00E830BC"/>
    <w:rsid w:val="00E83261"/>
    <w:rsid w:val="00E83370"/>
    <w:rsid w:val="00E83F7D"/>
    <w:rsid w:val="00E840D3"/>
    <w:rsid w:val="00E8447A"/>
    <w:rsid w:val="00E849BE"/>
    <w:rsid w:val="00E84B1A"/>
    <w:rsid w:val="00E84E2B"/>
    <w:rsid w:val="00E855A3"/>
    <w:rsid w:val="00E85AC3"/>
    <w:rsid w:val="00E85BC4"/>
    <w:rsid w:val="00E93B68"/>
    <w:rsid w:val="00E93E67"/>
    <w:rsid w:val="00E94174"/>
    <w:rsid w:val="00E9429A"/>
    <w:rsid w:val="00E94AD9"/>
    <w:rsid w:val="00E94B67"/>
    <w:rsid w:val="00E95467"/>
    <w:rsid w:val="00E96509"/>
    <w:rsid w:val="00EA0541"/>
    <w:rsid w:val="00EA0F26"/>
    <w:rsid w:val="00EA1015"/>
    <w:rsid w:val="00EA1DEE"/>
    <w:rsid w:val="00EA21E2"/>
    <w:rsid w:val="00EA247B"/>
    <w:rsid w:val="00EA2A21"/>
    <w:rsid w:val="00EA3026"/>
    <w:rsid w:val="00EA34CC"/>
    <w:rsid w:val="00EA3F59"/>
    <w:rsid w:val="00EA4C7E"/>
    <w:rsid w:val="00EB2041"/>
    <w:rsid w:val="00EB2FFC"/>
    <w:rsid w:val="00EB407F"/>
    <w:rsid w:val="00EB4400"/>
    <w:rsid w:val="00EB4B3D"/>
    <w:rsid w:val="00EB64F5"/>
    <w:rsid w:val="00EB65B1"/>
    <w:rsid w:val="00EB6E2B"/>
    <w:rsid w:val="00EB6F41"/>
    <w:rsid w:val="00EB7811"/>
    <w:rsid w:val="00EC1DE4"/>
    <w:rsid w:val="00EC22FE"/>
    <w:rsid w:val="00EC28A5"/>
    <w:rsid w:val="00EC34DC"/>
    <w:rsid w:val="00EC3B06"/>
    <w:rsid w:val="00EC3C46"/>
    <w:rsid w:val="00EC3E99"/>
    <w:rsid w:val="00EC712D"/>
    <w:rsid w:val="00EC72F7"/>
    <w:rsid w:val="00EC7687"/>
    <w:rsid w:val="00EC7D94"/>
    <w:rsid w:val="00ED1773"/>
    <w:rsid w:val="00ED2BD8"/>
    <w:rsid w:val="00ED2E5A"/>
    <w:rsid w:val="00ED31C7"/>
    <w:rsid w:val="00ED5250"/>
    <w:rsid w:val="00ED635D"/>
    <w:rsid w:val="00ED68AB"/>
    <w:rsid w:val="00ED6E5E"/>
    <w:rsid w:val="00EE17DB"/>
    <w:rsid w:val="00EE1F05"/>
    <w:rsid w:val="00EE21B1"/>
    <w:rsid w:val="00EE29AE"/>
    <w:rsid w:val="00EE4FEF"/>
    <w:rsid w:val="00EE6FC9"/>
    <w:rsid w:val="00EE775C"/>
    <w:rsid w:val="00EF0DC5"/>
    <w:rsid w:val="00EF314E"/>
    <w:rsid w:val="00EF31FB"/>
    <w:rsid w:val="00EF504E"/>
    <w:rsid w:val="00EF7D1B"/>
    <w:rsid w:val="00EF7E28"/>
    <w:rsid w:val="00F00991"/>
    <w:rsid w:val="00F01B9C"/>
    <w:rsid w:val="00F01FEE"/>
    <w:rsid w:val="00F0498B"/>
    <w:rsid w:val="00F04C13"/>
    <w:rsid w:val="00F06491"/>
    <w:rsid w:val="00F06F4E"/>
    <w:rsid w:val="00F108F2"/>
    <w:rsid w:val="00F12591"/>
    <w:rsid w:val="00F136FF"/>
    <w:rsid w:val="00F13AEE"/>
    <w:rsid w:val="00F14501"/>
    <w:rsid w:val="00F1557C"/>
    <w:rsid w:val="00F15E0A"/>
    <w:rsid w:val="00F160C3"/>
    <w:rsid w:val="00F1761F"/>
    <w:rsid w:val="00F20273"/>
    <w:rsid w:val="00F222E5"/>
    <w:rsid w:val="00F2326E"/>
    <w:rsid w:val="00F249DC"/>
    <w:rsid w:val="00F25F00"/>
    <w:rsid w:val="00F2711A"/>
    <w:rsid w:val="00F27631"/>
    <w:rsid w:val="00F312B0"/>
    <w:rsid w:val="00F3138E"/>
    <w:rsid w:val="00F32CA8"/>
    <w:rsid w:val="00F33189"/>
    <w:rsid w:val="00F33270"/>
    <w:rsid w:val="00F3344B"/>
    <w:rsid w:val="00F337DE"/>
    <w:rsid w:val="00F34619"/>
    <w:rsid w:val="00F34B81"/>
    <w:rsid w:val="00F3542C"/>
    <w:rsid w:val="00F356C7"/>
    <w:rsid w:val="00F36679"/>
    <w:rsid w:val="00F36CF5"/>
    <w:rsid w:val="00F4039A"/>
    <w:rsid w:val="00F406CD"/>
    <w:rsid w:val="00F41584"/>
    <w:rsid w:val="00F41DE7"/>
    <w:rsid w:val="00F42915"/>
    <w:rsid w:val="00F42AAD"/>
    <w:rsid w:val="00F42AF9"/>
    <w:rsid w:val="00F43073"/>
    <w:rsid w:val="00F446F5"/>
    <w:rsid w:val="00F45708"/>
    <w:rsid w:val="00F45FEA"/>
    <w:rsid w:val="00F46122"/>
    <w:rsid w:val="00F467DA"/>
    <w:rsid w:val="00F47D61"/>
    <w:rsid w:val="00F50EE6"/>
    <w:rsid w:val="00F52A02"/>
    <w:rsid w:val="00F5370A"/>
    <w:rsid w:val="00F56B55"/>
    <w:rsid w:val="00F57572"/>
    <w:rsid w:val="00F621F3"/>
    <w:rsid w:val="00F623FB"/>
    <w:rsid w:val="00F645DE"/>
    <w:rsid w:val="00F66605"/>
    <w:rsid w:val="00F666D6"/>
    <w:rsid w:val="00F66A93"/>
    <w:rsid w:val="00F672EC"/>
    <w:rsid w:val="00F6762D"/>
    <w:rsid w:val="00F67934"/>
    <w:rsid w:val="00F7018B"/>
    <w:rsid w:val="00F70AD8"/>
    <w:rsid w:val="00F70C11"/>
    <w:rsid w:val="00F71760"/>
    <w:rsid w:val="00F71902"/>
    <w:rsid w:val="00F756AE"/>
    <w:rsid w:val="00F75722"/>
    <w:rsid w:val="00F75CDB"/>
    <w:rsid w:val="00F76ADA"/>
    <w:rsid w:val="00F77139"/>
    <w:rsid w:val="00F815CD"/>
    <w:rsid w:val="00F822BF"/>
    <w:rsid w:val="00F82626"/>
    <w:rsid w:val="00F84470"/>
    <w:rsid w:val="00F84EB3"/>
    <w:rsid w:val="00F85379"/>
    <w:rsid w:val="00F85F8F"/>
    <w:rsid w:val="00F87A63"/>
    <w:rsid w:val="00F905D4"/>
    <w:rsid w:val="00F9084B"/>
    <w:rsid w:val="00F90D37"/>
    <w:rsid w:val="00F91339"/>
    <w:rsid w:val="00F91462"/>
    <w:rsid w:val="00F91F5C"/>
    <w:rsid w:val="00F94816"/>
    <w:rsid w:val="00F94A7A"/>
    <w:rsid w:val="00F94EF5"/>
    <w:rsid w:val="00F955A2"/>
    <w:rsid w:val="00F96217"/>
    <w:rsid w:val="00F96229"/>
    <w:rsid w:val="00F97A06"/>
    <w:rsid w:val="00FA005A"/>
    <w:rsid w:val="00FA2679"/>
    <w:rsid w:val="00FA3C5E"/>
    <w:rsid w:val="00FA3D73"/>
    <w:rsid w:val="00FA482D"/>
    <w:rsid w:val="00FA4BD2"/>
    <w:rsid w:val="00FA5131"/>
    <w:rsid w:val="00FA5281"/>
    <w:rsid w:val="00FA559A"/>
    <w:rsid w:val="00FA57F3"/>
    <w:rsid w:val="00FA6FEB"/>
    <w:rsid w:val="00FA7710"/>
    <w:rsid w:val="00FB0E4E"/>
    <w:rsid w:val="00FB0F56"/>
    <w:rsid w:val="00FB189D"/>
    <w:rsid w:val="00FB20C8"/>
    <w:rsid w:val="00FB3130"/>
    <w:rsid w:val="00FB609F"/>
    <w:rsid w:val="00FB6273"/>
    <w:rsid w:val="00FC0604"/>
    <w:rsid w:val="00FC12DC"/>
    <w:rsid w:val="00FC1B7A"/>
    <w:rsid w:val="00FC2A36"/>
    <w:rsid w:val="00FC303F"/>
    <w:rsid w:val="00FC3230"/>
    <w:rsid w:val="00FC4552"/>
    <w:rsid w:val="00FC5AE2"/>
    <w:rsid w:val="00FC7EE7"/>
    <w:rsid w:val="00FD02E8"/>
    <w:rsid w:val="00FD1BC7"/>
    <w:rsid w:val="00FD1DC4"/>
    <w:rsid w:val="00FD2B86"/>
    <w:rsid w:val="00FD3554"/>
    <w:rsid w:val="00FD4A34"/>
    <w:rsid w:val="00FD5B67"/>
    <w:rsid w:val="00FD6074"/>
    <w:rsid w:val="00FD6FDC"/>
    <w:rsid w:val="00FE0A86"/>
    <w:rsid w:val="00FE1803"/>
    <w:rsid w:val="00FE1E13"/>
    <w:rsid w:val="00FE296C"/>
    <w:rsid w:val="00FE3FF1"/>
    <w:rsid w:val="00FE4B36"/>
    <w:rsid w:val="00FE5DE0"/>
    <w:rsid w:val="00FE6A23"/>
    <w:rsid w:val="00FE7315"/>
    <w:rsid w:val="00FE774A"/>
    <w:rsid w:val="00FF141C"/>
    <w:rsid w:val="00FF1EED"/>
    <w:rsid w:val="00FF2442"/>
    <w:rsid w:val="00FF34AF"/>
    <w:rsid w:val="00FF34D3"/>
    <w:rsid w:val="00FF398F"/>
    <w:rsid w:val="00FF48EC"/>
    <w:rsid w:val="00FF6111"/>
    <w:rsid w:val="00FF6A46"/>
    <w:rsid w:val="00FF7C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8A26EB"/>
    <w:pPr>
      <w:keepNext/>
      <w:keepLines/>
      <w:numPr>
        <w:numId w:val="8"/>
      </w:numPr>
      <w:spacing w:before="480" w:after="120"/>
      <w:ind w:left="432"/>
      <w:outlineLvl w:val="0"/>
    </w:pPr>
    <w:rPr>
      <w:rFonts w:ascii="Arial" w:eastAsiaTheme="majorEastAsia" w:hAnsi="Arial" w:cs="Arial"/>
      <w:b/>
      <w:bCs/>
      <w:sz w:val="36"/>
      <w:szCs w:val="32"/>
    </w:rPr>
  </w:style>
  <w:style w:type="paragraph" w:styleId="Nadpis2">
    <w:name w:val="heading 2"/>
    <w:basedOn w:val="Nadpis1"/>
    <w:next w:val="Normln"/>
    <w:link w:val="Nadpis2Char"/>
    <w:uiPriority w:val="9"/>
    <w:unhideWhenUsed/>
    <w:qFormat/>
    <w:rsid w:val="008A26EB"/>
    <w:pPr>
      <w:numPr>
        <w:ilvl w:val="1"/>
      </w:numPr>
      <w:spacing w:before="240"/>
      <w:outlineLvl w:val="1"/>
    </w:pPr>
    <w:rPr>
      <w:sz w:val="28"/>
      <w:szCs w:val="28"/>
    </w:rPr>
  </w:style>
  <w:style w:type="paragraph" w:styleId="Nadpis3">
    <w:name w:val="heading 3"/>
    <w:basedOn w:val="Normln"/>
    <w:next w:val="Normln"/>
    <w:link w:val="Nadpis3Char"/>
    <w:uiPriority w:val="9"/>
    <w:unhideWhenUsed/>
    <w:qFormat/>
    <w:rsid w:val="008A26EB"/>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A26E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A26E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26E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A26E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A26EB"/>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A26EB"/>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26EB"/>
    <w:rPr>
      <w:rFonts w:ascii="Arial" w:eastAsiaTheme="majorEastAsia" w:hAnsi="Arial" w:cs="Arial"/>
      <w:b/>
      <w:bCs/>
      <w:sz w:val="36"/>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Odstavec_muj,List Paragraph,_Odstavec se seznamem,Seznam - odrážky,Conclusion de partie"/>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8A26EB"/>
    <w:rPr>
      <w:rFonts w:ascii="Arial" w:eastAsiaTheme="majorEastAsia" w:hAnsi="Arial" w:cs="Arial"/>
      <w:b/>
      <w:bCs/>
      <w:sz w:val="28"/>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rsid w:val="001870D9"/>
    <w:rPr>
      <w:sz w:val="16"/>
      <w:szCs w:val="16"/>
    </w:rPr>
  </w:style>
  <w:style w:type="character" w:customStyle="1" w:styleId="TextkomenteChar">
    <w:name w:val="Text komentáře Char"/>
    <w:basedOn w:val="Standardnpsmoodstavce"/>
    <w:link w:val="Textkomente"/>
    <w:uiPriority w:val="99"/>
    <w:semiHidden/>
    <w:rsid w:val="001870D9"/>
    <w:rPr>
      <w:rFonts w:ascii="Arial" w:hAnsi="Arial" w:cs="Arial"/>
    </w:rPr>
  </w:style>
  <w:style w:type="paragraph" w:styleId="Textkomente">
    <w:name w:val="annotation text"/>
    <w:basedOn w:val="Normln"/>
    <w:link w:val="TextkomenteChar"/>
    <w:uiPriority w:val="99"/>
    <w:semiHidden/>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Odstavec_muj Char,List Paragraph Char1,_Odstavec se seznamem Char,Seznam - odrážky Char,Conclusion de partie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2"/>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3"/>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 w:type="character" w:customStyle="1" w:styleId="Nadpis3Char">
    <w:name w:val="Nadpis 3 Char"/>
    <w:basedOn w:val="Standardnpsmoodstavce"/>
    <w:link w:val="Nadpis3"/>
    <w:uiPriority w:val="9"/>
    <w:rsid w:val="008A26EB"/>
    <w:rPr>
      <w:rFonts w:asciiTheme="majorHAnsi" w:eastAsiaTheme="majorEastAsia" w:hAnsiTheme="majorHAnsi" w:cstheme="majorBidi"/>
      <w:b/>
      <w:bCs/>
      <w:color w:val="4F81BD" w:themeColor="accent1"/>
      <w:sz w:val="22"/>
      <w:szCs w:val="22"/>
      <w:u w:color="000000"/>
    </w:rPr>
  </w:style>
  <w:style w:type="character" w:customStyle="1" w:styleId="Nadpis4Char">
    <w:name w:val="Nadpis 4 Char"/>
    <w:basedOn w:val="Standardnpsmoodstavce"/>
    <w:link w:val="Nadpis4"/>
    <w:uiPriority w:val="9"/>
    <w:semiHidden/>
    <w:rsid w:val="008A26EB"/>
    <w:rPr>
      <w:rFonts w:asciiTheme="majorHAnsi" w:eastAsiaTheme="majorEastAsia" w:hAnsiTheme="majorHAnsi" w:cstheme="majorBidi"/>
      <w:b/>
      <w:bCs/>
      <w:i/>
      <w:iCs/>
      <w:color w:val="4F81BD" w:themeColor="accent1"/>
      <w:sz w:val="22"/>
      <w:szCs w:val="22"/>
      <w:u w:color="000000"/>
    </w:rPr>
  </w:style>
  <w:style w:type="character" w:customStyle="1" w:styleId="Nadpis5Char">
    <w:name w:val="Nadpis 5 Char"/>
    <w:basedOn w:val="Standardnpsmoodstavce"/>
    <w:link w:val="Nadpis5"/>
    <w:uiPriority w:val="9"/>
    <w:semiHidden/>
    <w:rsid w:val="008A26EB"/>
    <w:rPr>
      <w:rFonts w:asciiTheme="majorHAnsi" w:eastAsiaTheme="majorEastAsia" w:hAnsiTheme="majorHAnsi" w:cstheme="majorBidi"/>
      <w:color w:val="243F60" w:themeColor="accent1" w:themeShade="7F"/>
      <w:sz w:val="22"/>
      <w:szCs w:val="22"/>
      <w:u w:color="000000"/>
    </w:rPr>
  </w:style>
  <w:style w:type="character" w:customStyle="1" w:styleId="Nadpis6Char">
    <w:name w:val="Nadpis 6 Char"/>
    <w:basedOn w:val="Standardnpsmoodstavce"/>
    <w:link w:val="Nadpis6"/>
    <w:uiPriority w:val="9"/>
    <w:semiHidden/>
    <w:rsid w:val="008A26EB"/>
    <w:rPr>
      <w:rFonts w:asciiTheme="majorHAnsi" w:eastAsiaTheme="majorEastAsia" w:hAnsiTheme="majorHAnsi" w:cstheme="majorBidi"/>
      <w:i/>
      <w:iCs/>
      <w:color w:val="243F60" w:themeColor="accent1" w:themeShade="7F"/>
      <w:sz w:val="22"/>
      <w:szCs w:val="22"/>
      <w:u w:color="000000"/>
    </w:rPr>
  </w:style>
  <w:style w:type="character" w:customStyle="1" w:styleId="Nadpis7Char">
    <w:name w:val="Nadpis 7 Char"/>
    <w:basedOn w:val="Standardnpsmoodstavce"/>
    <w:link w:val="Nadpis7"/>
    <w:uiPriority w:val="9"/>
    <w:semiHidden/>
    <w:rsid w:val="008A26EB"/>
    <w:rPr>
      <w:rFonts w:asciiTheme="majorHAnsi" w:eastAsiaTheme="majorEastAsia" w:hAnsiTheme="majorHAnsi" w:cstheme="majorBidi"/>
      <w:i/>
      <w:iCs/>
      <w:color w:val="404040" w:themeColor="text1" w:themeTint="BF"/>
      <w:sz w:val="22"/>
      <w:szCs w:val="22"/>
      <w:u w:color="000000"/>
    </w:rPr>
  </w:style>
  <w:style w:type="character" w:customStyle="1" w:styleId="Nadpis8Char">
    <w:name w:val="Nadpis 8 Char"/>
    <w:basedOn w:val="Standardnpsmoodstavce"/>
    <w:link w:val="Nadpis8"/>
    <w:uiPriority w:val="9"/>
    <w:semiHidden/>
    <w:rsid w:val="008A26EB"/>
    <w:rPr>
      <w:rFonts w:asciiTheme="majorHAnsi" w:eastAsiaTheme="majorEastAsia" w:hAnsiTheme="majorHAnsi" w:cstheme="majorBidi"/>
      <w:color w:val="404040" w:themeColor="text1" w:themeTint="BF"/>
      <w:u w:color="000000"/>
    </w:rPr>
  </w:style>
  <w:style w:type="character" w:customStyle="1" w:styleId="Nadpis9Char">
    <w:name w:val="Nadpis 9 Char"/>
    <w:basedOn w:val="Standardnpsmoodstavce"/>
    <w:link w:val="Nadpis9"/>
    <w:uiPriority w:val="9"/>
    <w:semiHidden/>
    <w:rsid w:val="008A26EB"/>
    <w:rPr>
      <w:rFonts w:asciiTheme="majorHAnsi" w:eastAsiaTheme="majorEastAsia" w:hAnsiTheme="majorHAnsi" w:cstheme="majorBidi"/>
      <w:i/>
      <w:iCs/>
      <w:color w:val="404040" w:themeColor="text1" w:themeTint="BF"/>
      <w:u w:color="000000"/>
    </w:rPr>
  </w:style>
  <w:style w:type="table" w:customStyle="1" w:styleId="Mkatabulky1">
    <w:name w:val="Mřížka tabulky1"/>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B75627"/>
  </w:style>
  <w:style w:type="table" w:customStyle="1" w:styleId="Mkatabulky49">
    <w:name w:val="Mřížka tabulky49"/>
    <w:basedOn w:val="Normlntabulka"/>
    <w:next w:val="Mkatabulky"/>
    <w:uiPriority w:val="59"/>
    <w:rsid w:val="00F66A93"/>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ulnstranaChar">
    <w:name w:val="Titulní strana Char"/>
    <w:basedOn w:val="Standardnpsmoodstavce"/>
    <w:link w:val="Titulnstrana"/>
    <w:locked/>
    <w:rsid w:val="002135A0"/>
    <w:rPr>
      <w:rFonts w:ascii="Arial" w:hAnsi="Arial" w:cs="Arial"/>
      <w:b/>
      <w:sz w:val="28"/>
    </w:rPr>
  </w:style>
  <w:style w:type="paragraph" w:customStyle="1" w:styleId="Titulnstrana">
    <w:name w:val="Titulní strana"/>
    <w:basedOn w:val="Normln"/>
    <w:link w:val="TitulnstranaChar"/>
    <w:qFormat/>
    <w:rsid w:val="002135A0"/>
    <w:pPr>
      <w:spacing w:before="0" w:after="120" w:line="264" w:lineRule="auto"/>
      <w:jc w:val="center"/>
    </w:pPr>
    <w:rPr>
      <w:rFonts w:ascii="Arial" w:eastAsia="Times New Roman" w:hAnsi="Arial" w:cs="Arial"/>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8A26EB"/>
    <w:pPr>
      <w:keepNext/>
      <w:keepLines/>
      <w:numPr>
        <w:numId w:val="8"/>
      </w:numPr>
      <w:spacing w:before="480" w:after="120"/>
      <w:ind w:left="432"/>
      <w:outlineLvl w:val="0"/>
    </w:pPr>
    <w:rPr>
      <w:rFonts w:ascii="Arial" w:eastAsiaTheme="majorEastAsia" w:hAnsi="Arial" w:cs="Arial"/>
      <w:b/>
      <w:bCs/>
      <w:sz w:val="36"/>
      <w:szCs w:val="32"/>
    </w:rPr>
  </w:style>
  <w:style w:type="paragraph" w:styleId="Nadpis2">
    <w:name w:val="heading 2"/>
    <w:basedOn w:val="Nadpis1"/>
    <w:next w:val="Normln"/>
    <w:link w:val="Nadpis2Char"/>
    <w:uiPriority w:val="9"/>
    <w:unhideWhenUsed/>
    <w:qFormat/>
    <w:rsid w:val="008A26EB"/>
    <w:pPr>
      <w:numPr>
        <w:ilvl w:val="1"/>
      </w:numPr>
      <w:spacing w:before="240"/>
      <w:outlineLvl w:val="1"/>
    </w:pPr>
    <w:rPr>
      <w:sz w:val="28"/>
      <w:szCs w:val="28"/>
    </w:rPr>
  </w:style>
  <w:style w:type="paragraph" w:styleId="Nadpis3">
    <w:name w:val="heading 3"/>
    <w:basedOn w:val="Normln"/>
    <w:next w:val="Normln"/>
    <w:link w:val="Nadpis3Char"/>
    <w:uiPriority w:val="9"/>
    <w:unhideWhenUsed/>
    <w:qFormat/>
    <w:rsid w:val="008A26EB"/>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A26E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A26E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26E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A26E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A26EB"/>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A26EB"/>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26EB"/>
    <w:rPr>
      <w:rFonts w:ascii="Arial" w:eastAsiaTheme="majorEastAsia" w:hAnsi="Arial" w:cs="Arial"/>
      <w:b/>
      <w:bCs/>
      <w:sz w:val="36"/>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Odstavec_muj,List Paragraph,_Odstavec se seznamem,Seznam - odrážky,Conclusion de partie"/>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8A26EB"/>
    <w:rPr>
      <w:rFonts w:ascii="Arial" w:eastAsiaTheme="majorEastAsia" w:hAnsi="Arial" w:cs="Arial"/>
      <w:b/>
      <w:bCs/>
      <w:sz w:val="28"/>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rsid w:val="001870D9"/>
    <w:rPr>
      <w:sz w:val="16"/>
      <w:szCs w:val="16"/>
    </w:rPr>
  </w:style>
  <w:style w:type="character" w:customStyle="1" w:styleId="TextkomenteChar">
    <w:name w:val="Text komentáře Char"/>
    <w:basedOn w:val="Standardnpsmoodstavce"/>
    <w:link w:val="Textkomente"/>
    <w:uiPriority w:val="99"/>
    <w:semiHidden/>
    <w:rsid w:val="001870D9"/>
    <w:rPr>
      <w:rFonts w:ascii="Arial" w:hAnsi="Arial" w:cs="Arial"/>
    </w:rPr>
  </w:style>
  <w:style w:type="paragraph" w:styleId="Textkomente">
    <w:name w:val="annotation text"/>
    <w:basedOn w:val="Normln"/>
    <w:link w:val="TextkomenteChar"/>
    <w:uiPriority w:val="99"/>
    <w:semiHidden/>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Odstavec_muj Char,List Paragraph Char1,_Odstavec se seznamem Char,Seznam - odrážky Char,Conclusion de partie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2"/>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3"/>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 w:type="character" w:customStyle="1" w:styleId="Nadpis3Char">
    <w:name w:val="Nadpis 3 Char"/>
    <w:basedOn w:val="Standardnpsmoodstavce"/>
    <w:link w:val="Nadpis3"/>
    <w:uiPriority w:val="9"/>
    <w:rsid w:val="008A26EB"/>
    <w:rPr>
      <w:rFonts w:asciiTheme="majorHAnsi" w:eastAsiaTheme="majorEastAsia" w:hAnsiTheme="majorHAnsi" w:cstheme="majorBidi"/>
      <w:b/>
      <w:bCs/>
      <w:color w:val="4F81BD" w:themeColor="accent1"/>
      <w:sz w:val="22"/>
      <w:szCs w:val="22"/>
      <w:u w:color="000000"/>
    </w:rPr>
  </w:style>
  <w:style w:type="character" w:customStyle="1" w:styleId="Nadpis4Char">
    <w:name w:val="Nadpis 4 Char"/>
    <w:basedOn w:val="Standardnpsmoodstavce"/>
    <w:link w:val="Nadpis4"/>
    <w:uiPriority w:val="9"/>
    <w:semiHidden/>
    <w:rsid w:val="008A26EB"/>
    <w:rPr>
      <w:rFonts w:asciiTheme="majorHAnsi" w:eastAsiaTheme="majorEastAsia" w:hAnsiTheme="majorHAnsi" w:cstheme="majorBidi"/>
      <w:b/>
      <w:bCs/>
      <w:i/>
      <w:iCs/>
      <w:color w:val="4F81BD" w:themeColor="accent1"/>
      <w:sz w:val="22"/>
      <w:szCs w:val="22"/>
      <w:u w:color="000000"/>
    </w:rPr>
  </w:style>
  <w:style w:type="character" w:customStyle="1" w:styleId="Nadpis5Char">
    <w:name w:val="Nadpis 5 Char"/>
    <w:basedOn w:val="Standardnpsmoodstavce"/>
    <w:link w:val="Nadpis5"/>
    <w:uiPriority w:val="9"/>
    <w:semiHidden/>
    <w:rsid w:val="008A26EB"/>
    <w:rPr>
      <w:rFonts w:asciiTheme="majorHAnsi" w:eastAsiaTheme="majorEastAsia" w:hAnsiTheme="majorHAnsi" w:cstheme="majorBidi"/>
      <w:color w:val="243F60" w:themeColor="accent1" w:themeShade="7F"/>
      <w:sz w:val="22"/>
      <w:szCs w:val="22"/>
      <w:u w:color="000000"/>
    </w:rPr>
  </w:style>
  <w:style w:type="character" w:customStyle="1" w:styleId="Nadpis6Char">
    <w:name w:val="Nadpis 6 Char"/>
    <w:basedOn w:val="Standardnpsmoodstavce"/>
    <w:link w:val="Nadpis6"/>
    <w:uiPriority w:val="9"/>
    <w:semiHidden/>
    <w:rsid w:val="008A26EB"/>
    <w:rPr>
      <w:rFonts w:asciiTheme="majorHAnsi" w:eastAsiaTheme="majorEastAsia" w:hAnsiTheme="majorHAnsi" w:cstheme="majorBidi"/>
      <w:i/>
      <w:iCs/>
      <w:color w:val="243F60" w:themeColor="accent1" w:themeShade="7F"/>
      <w:sz w:val="22"/>
      <w:szCs w:val="22"/>
      <w:u w:color="000000"/>
    </w:rPr>
  </w:style>
  <w:style w:type="character" w:customStyle="1" w:styleId="Nadpis7Char">
    <w:name w:val="Nadpis 7 Char"/>
    <w:basedOn w:val="Standardnpsmoodstavce"/>
    <w:link w:val="Nadpis7"/>
    <w:uiPriority w:val="9"/>
    <w:semiHidden/>
    <w:rsid w:val="008A26EB"/>
    <w:rPr>
      <w:rFonts w:asciiTheme="majorHAnsi" w:eastAsiaTheme="majorEastAsia" w:hAnsiTheme="majorHAnsi" w:cstheme="majorBidi"/>
      <w:i/>
      <w:iCs/>
      <w:color w:val="404040" w:themeColor="text1" w:themeTint="BF"/>
      <w:sz w:val="22"/>
      <w:szCs w:val="22"/>
      <w:u w:color="000000"/>
    </w:rPr>
  </w:style>
  <w:style w:type="character" w:customStyle="1" w:styleId="Nadpis8Char">
    <w:name w:val="Nadpis 8 Char"/>
    <w:basedOn w:val="Standardnpsmoodstavce"/>
    <w:link w:val="Nadpis8"/>
    <w:uiPriority w:val="9"/>
    <w:semiHidden/>
    <w:rsid w:val="008A26EB"/>
    <w:rPr>
      <w:rFonts w:asciiTheme="majorHAnsi" w:eastAsiaTheme="majorEastAsia" w:hAnsiTheme="majorHAnsi" w:cstheme="majorBidi"/>
      <w:color w:val="404040" w:themeColor="text1" w:themeTint="BF"/>
      <w:u w:color="000000"/>
    </w:rPr>
  </w:style>
  <w:style w:type="character" w:customStyle="1" w:styleId="Nadpis9Char">
    <w:name w:val="Nadpis 9 Char"/>
    <w:basedOn w:val="Standardnpsmoodstavce"/>
    <w:link w:val="Nadpis9"/>
    <w:uiPriority w:val="9"/>
    <w:semiHidden/>
    <w:rsid w:val="008A26EB"/>
    <w:rPr>
      <w:rFonts w:asciiTheme="majorHAnsi" w:eastAsiaTheme="majorEastAsia" w:hAnsiTheme="majorHAnsi" w:cstheme="majorBidi"/>
      <w:i/>
      <w:iCs/>
      <w:color w:val="404040" w:themeColor="text1" w:themeTint="BF"/>
      <w:u w:color="000000"/>
    </w:rPr>
  </w:style>
  <w:style w:type="table" w:customStyle="1" w:styleId="Mkatabulky1">
    <w:name w:val="Mřížka tabulky1"/>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B75627"/>
  </w:style>
  <w:style w:type="table" w:customStyle="1" w:styleId="Mkatabulky49">
    <w:name w:val="Mřížka tabulky49"/>
    <w:basedOn w:val="Normlntabulka"/>
    <w:next w:val="Mkatabulky"/>
    <w:uiPriority w:val="59"/>
    <w:rsid w:val="00F66A93"/>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nstranaChar">
    <w:name w:val="Titulní strana Char"/>
    <w:basedOn w:val="Standardnpsmoodstavce"/>
    <w:link w:val="Titulnstrana"/>
    <w:locked/>
    <w:rsid w:val="002135A0"/>
    <w:rPr>
      <w:rFonts w:ascii="Arial" w:hAnsi="Arial" w:cs="Arial"/>
      <w:b/>
      <w:sz w:val="28"/>
    </w:rPr>
  </w:style>
  <w:style w:type="paragraph" w:customStyle="1" w:styleId="Titulnstrana">
    <w:name w:val="Titulní strana"/>
    <w:basedOn w:val="Normln"/>
    <w:link w:val="TitulnstranaChar"/>
    <w:qFormat/>
    <w:rsid w:val="002135A0"/>
    <w:pPr>
      <w:spacing w:before="0" w:after="120" w:line="264" w:lineRule="auto"/>
      <w:jc w:val="center"/>
    </w:pPr>
    <w:rPr>
      <w:rFonts w:ascii="Arial" w:eastAsia="Times New Roman" w:hAnsi="Arial" w:cs="Arial"/>
      <w:b/>
      <w:sz w:val="28"/>
      <w:szCs w:val="20"/>
    </w:rPr>
  </w:style>
</w:styles>
</file>

<file path=word/webSettings.xml><?xml version="1.0" encoding="utf-8"?>
<w:webSettings xmlns:r="http://schemas.openxmlformats.org/officeDocument/2006/relationships" xmlns:w="http://schemas.openxmlformats.org/wordprocessingml/2006/main">
  <w:divs>
    <w:div w:id="91901371">
      <w:bodyDiv w:val="1"/>
      <w:marLeft w:val="0"/>
      <w:marRight w:val="0"/>
      <w:marTop w:val="0"/>
      <w:marBottom w:val="0"/>
      <w:divBdr>
        <w:top w:val="none" w:sz="0" w:space="0" w:color="auto"/>
        <w:left w:val="none" w:sz="0" w:space="0" w:color="auto"/>
        <w:bottom w:val="none" w:sz="0" w:space="0" w:color="auto"/>
        <w:right w:val="none" w:sz="0" w:space="0" w:color="auto"/>
      </w:divBdr>
      <w:divsChild>
        <w:div w:id="380053994">
          <w:marLeft w:val="1166"/>
          <w:marRight w:val="0"/>
          <w:marTop w:val="77"/>
          <w:marBottom w:val="0"/>
          <w:divBdr>
            <w:top w:val="none" w:sz="0" w:space="0" w:color="auto"/>
            <w:left w:val="none" w:sz="0" w:space="0" w:color="auto"/>
            <w:bottom w:val="none" w:sz="0" w:space="0" w:color="auto"/>
            <w:right w:val="none" w:sz="0" w:space="0" w:color="auto"/>
          </w:divBdr>
        </w:div>
      </w:divsChild>
    </w:div>
    <w:div w:id="161506008">
      <w:bodyDiv w:val="1"/>
      <w:marLeft w:val="0"/>
      <w:marRight w:val="0"/>
      <w:marTop w:val="0"/>
      <w:marBottom w:val="0"/>
      <w:divBdr>
        <w:top w:val="none" w:sz="0" w:space="0" w:color="auto"/>
        <w:left w:val="none" w:sz="0" w:space="0" w:color="auto"/>
        <w:bottom w:val="none" w:sz="0" w:space="0" w:color="auto"/>
        <w:right w:val="none" w:sz="0" w:space="0" w:color="auto"/>
      </w:divBdr>
    </w:div>
    <w:div w:id="198514899">
      <w:bodyDiv w:val="1"/>
      <w:marLeft w:val="0"/>
      <w:marRight w:val="0"/>
      <w:marTop w:val="0"/>
      <w:marBottom w:val="0"/>
      <w:divBdr>
        <w:top w:val="none" w:sz="0" w:space="0" w:color="auto"/>
        <w:left w:val="none" w:sz="0" w:space="0" w:color="auto"/>
        <w:bottom w:val="none" w:sz="0" w:space="0" w:color="auto"/>
        <w:right w:val="none" w:sz="0" w:space="0" w:color="auto"/>
      </w:divBdr>
      <w:divsChild>
        <w:div w:id="418870853">
          <w:marLeft w:val="0"/>
          <w:marRight w:val="0"/>
          <w:marTop w:val="86"/>
          <w:marBottom w:val="0"/>
          <w:divBdr>
            <w:top w:val="none" w:sz="0" w:space="0" w:color="auto"/>
            <w:left w:val="none" w:sz="0" w:space="0" w:color="auto"/>
            <w:bottom w:val="none" w:sz="0" w:space="0" w:color="auto"/>
            <w:right w:val="none" w:sz="0" w:space="0" w:color="auto"/>
          </w:divBdr>
        </w:div>
        <w:div w:id="1747805634">
          <w:marLeft w:val="0"/>
          <w:marRight w:val="0"/>
          <w:marTop w:val="86"/>
          <w:marBottom w:val="0"/>
          <w:divBdr>
            <w:top w:val="none" w:sz="0" w:space="0" w:color="auto"/>
            <w:left w:val="none" w:sz="0" w:space="0" w:color="auto"/>
            <w:bottom w:val="none" w:sz="0" w:space="0" w:color="auto"/>
            <w:right w:val="none" w:sz="0" w:space="0" w:color="auto"/>
          </w:divBdr>
        </w:div>
        <w:div w:id="1751732006">
          <w:marLeft w:val="0"/>
          <w:marRight w:val="0"/>
          <w:marTop w:val="86"/>
          <w:marBottom w:val="0"/>
          <w:divBdr>
            <w:top w:val="none" w:sz="0" w:space="0" w:color="auto"/>
            <w:left w:val="none" w:sz="0" w:space="0" w:color="auto"/>
            <w:bottom w:val="none" w:sz="0" w:space="0" w:color="auto"/>
            <w:right w:val="none" w:sz="0" w:space="0" w:color="auto"/>
          </w:divBdr>
        </w:div>
      </w:divsChild>
    </w:div>
    <w:div w:id="198786802">
      <w:bodyDiv w:val="1"/>
      <w:marLeft w:val="0"/>
      <w:marRight w:val="0"/>
      <w:marTop w:val="0"/>
      <w:marBottom w:val="0"/>
      <w:divBdr>
        <w:top w:val="none" w:sz="0" w:space="0" w:color="auto"/>
        <w:left w:val="none" w:sz="0" w:space="0" w:color="auto"/>
        <w:bottom w:val="none" w:sz="0" w:space="0" w:color="auto"/>
        <w:right w:val="none" w:sz="0" w:space="0" w:color="auto"/>
      </w:divBdr>
    </w:div>
    <w:div w:id="262108920">
      <w:bodyDiv w:val="1"/>
      <w:marLeft w:val="0"/>
      <w:marRight w:val="0"/>
      <w:marTop w:val="0"/>
      <w:marBottom w:val="0"/>
      <w:divBdr>
        <w:top w:val="none" w:sz="0" w:space="0" w:color="auto"/>
        <w:left w:val="none" w:sz="0" w:space="0" w:color="auto"/>
        <w:bottom w:val="none" w:sz="0" w:space="0" w:color="auto"/>
        <w:right w:val="none" w:sz="0" w:space="0" w:color="auto"/>
      </w:divBdr>
    </w:div>
    <w:div w:id="265430136">
      <w:bodyDiv w:val="1"/>
      <w:marLeft w:val="0"/>
      <w:marRight w:val="0"/>
      <w:marTop w:val="0"/>
      <w:marBottom w:val="0"/>
      <w:divBdr>
        <w:top w:val="none" w:sz="0" w:space="0" w:color="auto"/>
        <w:left w:val="none" w:sz="0" w:space="0" w:color="auto"/>
        <w:bottom w:val="none" w:sz="0" w:space="0" w:color="auto"/>
        <w:right w:val="none" w:sz="0" w:space="0" w:color="auto"/>
      </w:divBdr>
    </w:div>
    <w:div w:id="281889102">
      <w:bodyDiv w:val="1"/>
      <w:marLeft w:val="0"/>
      <w:marRight w:val="0"/>
      <w:marTop w:val="0"/>
      <w:marBottom w:val="0"/>
      <w:divBdr>
        <w:top w:val="none" w:sz="0" w:space="0" w:color="auto"/>
        <w:left w:val="none" w:sz="0" w:space="0" w:color="auto"/>
        <w:bottom w:val="none" w:sz="0" w:space="0" w:color="auto"/>
        <w:right w:val="none" w:sz="0" w:space="0" w:color="auto"/>
      </w:divBdr>
      <w:divsChild>
        <w:div w:id="2097970661">
          <w:marLeft w:val="835"/>
          <w:marRight w:val="0"/>
          <w:marTop w:val="60"/>
          <w:marBottom w:val="60"/>
          <w:divBdr>
            <w:top w:val="none" w:sz="0" w:space="0" w:color="auto"/>
            <w:left w:val="none" w:sz="0" w:space="0" w:color="auto"/>
            <w:bottom w:val="none" w:sz="0" w:space="0" w:color="auto"/>
            <w:right w:val="none" w:sz="0" w:space="0" w:color="auto"/>
          </w:divBdr>
        </w:div>
        <w:div w:id="318966840">
          <w:marLeft w:val="835"/>
          <w:marRight w:val="0"/>
          <w:marTop w:val="60"/>
          <w:marBottom w:val="60"/>
          <w:divBdr>
            <w:top w:val="none" w:sz="0" w:space="0" w:color="auto"/>
            <w:left w:val="none" w:sz="0" w:space="0" w:color="auto"/>
            <w:bottom w:val="none" w:sz="0" w:space="0" w:color="auto"/>
            <w:right w:val="none" w:sz="0" w:space="0" w:color="auto"/>
          </w:divBdr>
        </w:div>
        <w:div w:id="1789545271">
          <w:marLeft w:val="835"/>
          <w:marRight w:val="0"/>
          <w:marTop w:val="60"/>
          <w:marBottom w:val="60"/>
          <w:divBdr>
            <w:top w:val="none" w:sz="0" w:space="0" w:color="auto"/>
            <w:left w:val="none" w:sz="0" w:space="0" w:color="auto"/>
            <w:bottom w:val="none" w:sz="0" w:space="0" w:color="auto"/>
            <w:right w:val="none" w:sz="0" w:space="0" w:color="auto"/>
          </w:divBdr>
        </w:div>
      </w:divsChild>
    </w:div>
    <w:div w:id="299001575">
      <w:bodyDiv w:val="1"/>
      <w:marLeft w:val="0"/>
      <w:marRight w:val="0"/>
      <w:marTop w:val="0"/>
      <w:marBottom w:val="0"/>
      <w:divBdr>
        <w:top w:val="none" w:sz="0" w:space="0" w:color="auto"/>
        <w:left w:val="none" w:sz="0" w:space="0" w:color="auto"/>
        <w:bottom w:val="none" w:sz="0" w:space="0" w:color="auto"/>
        <w:right w:val="none" w:sz="0" w:space="0" w:color="auto"/>
      </w:divBdr>
    </w:div>
    <w:div w:id="304699140">
      <w:bodyDiv w:val="1"/>
      <w:marLeft w:val="0"/>
      <w:marRight w:val="0"/>
      <w:marTop w:val="0"/>
      <w:marBottom w:val="0"/>
      <w:divBdr>
        <w:top w:val="none" w:sz="0" w:space="0" w:color="auto"/>
        <w:left w:val="none" w:sz="0" w:space="0" w:color="auto"/>
        <w:bottom w:val="none" w:sz="0" w:space="0" w:color="auto"/>
        <w:right w:val="none" w:sz="0" w:space="0" w:color="auto"/>
      </w:divBdr>
      <w:divsChild>
        <w:div w:id="418791055">
          <w:marLeft w:val="0"/>
          <w:marRight w:val="0"/>
          <w:marTop w:val="86"/>
          <w:marBottom w:val="0"/>
          <w:divBdr>
            <w:top w:val="none" w:sz="0" w:space="0" w:color="auto"/>
            <w:left w:val="none" w:sz="0" w:space="0" w:color="auto"/>
            <w:bottom w:val="none" w:sz="0" w:space="0" w:color="auto"/>
            <w:right w:val="none" w:sz="0" w:space="0" w:color="auto"/>
          </w:divBdr>
        </w:div>
        <w:div w:id="17390442">
          <w:marLeft w:val="0"/>
          <w:marRight w:val="0"/>
          <w:marTop w:val="86"/>
          <w:marBottom w:val="0"/>
          <w:divBdr>
            <w:top w:val="none" w:sz="0" w:space="0" w:color="auto"/>
            <w:left w:val="none" w:sz="0" w:space="0" w:color="auto"/>
            <w:bottom w:val="none" w:sz="0" w:space="0" w:color="auto"/>
            <w:right w:val="none" w:sz="0" w:space="0" w:color="auto"/>
          </w:divBdr>
        </w:div>
        <w:div w:id="584338888">
          <w:marLeft w:val="562"/>
          <w:marRight w:val="0"/>
          <w:marTop w:val="0"/>
          <w:marBottom w:val="0"/>
          <w:divBdr>
            <w:top w:val="none" w:sz="0" w:space="0" w:color="auto"/>
            <w:left w:val="none" w:sz="0" w:space="0" w:color="auto"/>
            <w:bottom w:val="none" w:sz="0" w:space="0" w:color="auto"/>
            <w:right w:val="none" w:sz="0" w:space="0" w:color="auto"/>
          </w:divBdr>
        </w:div>
        <w:div w:id="546723563">
          <w:marLeft w:val="562"/>
          <w:marRight w:val="0"/>
          <w:marTop w:val="120"/>
          <w:marBottom w:val="0"/>
          <w:divBdr>
            <w:top w:val="none" w:sz="0" w:space="0" w:color="auto"/>
            <w:left w:val="none" w:sz="0" w:space="0" w:color="auto"/>
            <w:bottom w:val="none" w:sz="0" w:space="0" w:color="auto"/>
            <w:right w:val="none" w:sz="0" w:space="0" w:color="auto"/>
          </w:divBdr>
        </w:div>
        <w:div w:id="530386027">
          <w:marLeft w:val="562"/>
          <w:marRight w:val="0"/>
          <w:marTop w:val="120"/>
          <w:marBottom w:val="0"/>
          <w:divBdr>
            <w:top w:val="none" w:sz="0" w:space="0" w:color="auto"/>
            <w:left w:val="none" w:sz="0" w:space="0" w:color="auto"/>
            <w:bottom w:val="none" w:sz="0" w:space="0" w:color="auto"/>
            <w:right w:val="none" w:sz="0" w:space="0" w:color="auto"/>
          </w:divBdr>
        </w:div>
        <w:div w:id="45372868">
          <w:marLeft w:val="562"/>
          <w:marRight w:val="0"/>
          <w:marTop w:val="120"/>
          <w:marBottom w:val="0"/>
          <w:divBdr>
            <w:top w:val="none" w:sz="0" w:space="0" w:color="auto"/>
            <w:left w:val="none" w:sz="0" w:space="0" w:color="auto"/>
            <w:bottom w:val="none" w:sz="0" w:space="0" w:color="auto"/>
            <w:right w:val="none" w:sz="0" w:space="0" w:color="auto"/>
          </w:divBdr>
        </w:div>
        <w:div w:id="1369840222">
          <w:marLeft w:val="562"/>
          <w:marRight w:val="0"/>
          <w:marTop w:val="120"/>
          <w:marBottom w:val="0"/>
          <w:divBdr>
            <w:top w:val="none" w:sz="0" w:space="0" w:color="auto"/>
            <w:left w:val="none" w:sz="0" w:space="0" w:color="auto"/>
            <w:bottom w:val="none" w:sz="0" w:space="0" w:color="auto"/>
            <w:right w:val="none" w:sz="0" w:space="0" w:color="auto"/>
          </w:divBdr>
        </w:div>
        <w:div w:id="461926028">
          <w:marLeft w:val="0"/>
          <w:marRight w:val="0"/>
          <w:marTop w:val="86"/>
          <w:marBottom w:val="0"/>
          <w:divBdr>
            <w:top w:val="none" w:sz="0" w:space="0" w:color="auto"/>
            <w:left w:val="none" w:sz="0" w:space="0" w:color="auto"/>
            <w:bottom w:val="none" w:sz="0" w:space="0" w:color="auto"/>
            <w:right w:val="none" w:sz="0" w:space="0" w:color="auto"/>
          </w:divBdr>
        </w:div>
      </w:divsChild>
    </w:div>
    <w:div w:id="325717743">
      <w:bodyDiv w:val="1"/>
      <w:marLeft w:val="0"/>
      <w:marRight w:val="0"/>
      <w:marTop w:val="0"/>
      <w:marBottom w:val="0"/>
      <w:divBdr>
        <w:top w:val="none" w:sz="0" w:space="0" w:color="auto"/>
        <w:left w:val="none" w:sz="0" w:space="0" w:color="auto"/>
        <w:bottom w:val="none" w:sz="0" w:space="0" w:color="auto"/>
        <w:right w:val="none" w:sz="0" w:space="0" w:color="auto"/>
      </w:divBdr>
    </w:div>
    <w:div w:id="343359690">
      <w:bodyDiv w:val="1"/>
      <w:marLeft w:val="0"/>
      <w:marRight w:val="0"/>
      <w:marTop w:val="0"/>
      <w:marBottom w:val="0"/>
      <w:divBdr>
        <w:top w:val="none" w:sz="0" w:space="0" w:color="auto"/>
        <w:left w:val="none" w:sz="0" w:space="0" w:color="auto"/>
        <w:bottom w:val="none" w:sz="0" w:space="0" w:color="auto"/>
        <w:right w:val="none" w:sz="0" w:space="0" w:color="auto"/>
      </w:divBdr>
    </w:div>
    <w:div w:id="471412331">
      <w:bodyDiv w:val="1"/>
      <w:marLeft w:val="0"/>
      <w:marRight w:val="0"/>
      <w:marTop w:val="0"/>
      <w:marBottom w:val="0"/>
      <w:divBdr>
        <w:top w:val="none" w:sz="0" w:space="0" w:color="auto"/>
        <w:left w:val="none" w:sz="0" w:space="0" w:color="auto"/>
        <w:bottom w:val="none" w:sz="0" w:space="0" w:color="auto"/>
        <w:right w:val="none" w:sz="0" w:space="0" w:color="auto"/>
      </w:divBdr>
    </w:div>
    <w:div w:id="495650440">
      <w:bodyDiv w:val="1"/>
      <w:marLeft w:val="0"/>
      <w:marRight w:val="0"/>
      <w:marTop w:val="0"/>
      <w:marBottom w:val="0"/>
      <w:divBdr>
        <w:top w:val="none" w:sz="0" w:space="0" w:color="auto"/>
        <w:left w:val="none" w:sz="0" w:space="0" w:color="auto"/>
        <w:bottom w:val="none" w:sz="0" w:space="0" w:color="auto"/>
        <w:right w:val="none" w:sz="0" w:space="0" w:color="auto"/>
      </w:divBdr>
    </w:div>
    <w:div w:id="510796286">
      <w:bodyDiv w:val="1"/>
      <w:marLeft w:val="0"/>
      <w:marRight w:val="0"/>
      <w:marTop w:val="0"/>
      <w:marBottom w:val="0"/>
      <w:divBdr>
        <w:top w:val="none" w:sz="0" w:space="0" w:color="auto"/>
        <w:left w:val="none" w:sz="0" w:space="0" w:color="auto"/>
        <w:bottom w:val="none" w:sz="0" w:space="0" w:color="auto"/>
        <w:right w:val="none" w:sz="0" w:space="0" w:color="auto"/>
      </w:divBdr>
    </w:div>
    <w:div w:id="698316951">
      <w:bodyDiv w:val="1"/>
      <w:marLeft w:val="0"/>
      <w:marRight w:val="0"/>
      <w:marTop w:val="0"/>
      <w:marBottom w:val="0"/>
      <w:divBdr>
        <w:top w:val="none" w:sz="0" w:space="0" w:color="auto"/>
        <w:left w:val="none" w:sz="0" w:space="0" w:color="auto"/>
        <w:bottom w:val="none" w:sz="0" w:space="0" w:color="auto"/>
        <w:right w:val="none" w:sz="0" w:space="0" w:color="auto"/>
      </w:divBdr>
      <w:divsChild>
        <w:div w:id="2010910629">
          <w:marLeft w:val="288"/>
          <w:marRight w:val="0"/>
          <w:marTop w:val="86"/>
          <w:marBottom w:val="0"/>
          <w:divBdr>
            <w:top w:val="none" w:sz="0" w:space="0" w:color="auto"/>
            <w:left w:val="none" w:sz="0" w:space="0" w:color="auto"/>
            <w:bottom w:val="none" w:sz="0" w:space="0" w:color="auto"/>
            <w:right w:val="none" w:sz="0" w:space="0" w:color="auto"/>
          </w:divBdr>
        </w:div>
        <w:div w:id="893471358">
          <w:marLeft w:val="979"/>
          <w:marRight w:val="0"/>
          <w:marTop w:val="77"/>
          <w:marBottom w:val="0"/>
          <w:divBdr>
            <w:top w:val="none" w:sz="0" w:space="0" w:color="auto"/>
            <w:left w:val="none" w:sz="0" w:space="0" w:color="auto"/>
            <w:bottom w:val="none" w:sz="0" w:space="0" w:color="auto"/>
            <w:right w:val="none" w:sz="0" w:space="0" w:color="auto"/>
          </w:divBdr>
        </w:div>
        <w:div w:id="1439987898">
          <w:marLeft w:val="979"/>
          <w:marRight w:val="0"/>
          <w:marTop w:val="77"/>
          <w:marBottom w:val="0"/>
          <w:divBdr>
            <w:top w:val="none" w:sz="0" w:space="0" w:color="auto"/>
            <w:left w:val="none" w:sz="0" w:space="0" w:color="auto"/>
            <w:bottom w:val="none" w:sz="0" w:space="0" w:color="auto"/>
            <w:right w:val="none" w:sz="0" w:space="0" w:color="auto"/>
          </w:divBdr>
        </w:div>
        <w:div w:id="682977940">
          <w:marLeft w:val="288"/>
          <w:marRight w:val="0"/>
          <w:marTop w:val="160"/>
          <w:marBottom w:val="0"/>
          <w:divBdr>
            <w:top w:val="none" w:sz="0" w:space="0" w:color="auto"/>
            <w:left w:val="none" w:sz="0" w:space="0" w:color="auto"/>
            <w:bottom w:val="none" w:sz="0" w:space="0" w:color="auto"/>
            <w:right w:val="none" w:sz="0" w:space="0" w:color="auto"/>
          </w:divBdr>
        </w:div>
        <w:div w:id="1445803223">
          <w:marLeft w:val="979"/>
          <w:marRight w:val="0"/>
          <w:marTop w:val="77"/>
          <w:marBottom w:val="0"/>
          <w:divBdr>
            <w:top w:val="none" w:sz="0" w:space="0" w:color="auto"/>
            <w:left w:val="none" w:sz="0" w:space="0" w:color="auto"/>
            <w:bottom w:val="none" w:sz="0" w:space="0" w:color="auto"/>
            <w:right w:val="none" w:sz="0" w:space="0" w:color="auto"/>
          </w:divBdr>
        </w:div>
        <w:div w:id="583539673">
          <w:marLeft w:val="288"/>
          <w:marRight w:val="0"/>
          <w:marTop w:val="160"/>
          <w:marBottom w:val="0"/>
          <w:divBdr>
            <w:top w:val="none" w:sz="0" w:space="0" w:color="auto"/>
            <w:left w:val="none" w:sz="0" w:space="0" w:color="auto"/>
            <w:bottom w:val="none" w:sz="0" w:space="0" w:color="auto"/>
            <w:right w:val="none" w:sz="0" w:space="0" w:color="auto"/>
          </w:divBdr>
        </w:div>
        <w:div w:id="1508596526">
          <w:marLeft w:val="979"/>
          <w:marRight w:val="0"/>
          <w:marTop w:val="77"/>
          <w:marBottom w:val="0"/>
          <w:divBdr>
            <w:top w:val="none" w:sz="0" w:space="0" w:color="auto"/>
            <w:left w:val="none" w:sz="0" w:space="0" w:color="auto"/>
            <w:bottom w:val="none" w:sz="0" w:space="0" w:color="auto"/>
            <w:right w:val="none" w:sz="0" w:space="0" w:color="auto"/>
          </w:divBdr>
        </w:div>
        <w:div w:id="618343912">
          <w:marLeft w:val="979"/>
          <w:marRight w:val="0"/>
          <w:marTop w:val="77"/>
          <w:marBottom w:val="0"/>
          <w:divBdr>
            <w:top w:val="none" w:sz="0" w:space="0" w:color="auto"/>
            <w:left w:val="none" w:sz="0" w:space="0" w:color="auto"/>
            <w:bottom w:val="none" w:sz="0" w:space="0" w:color="auto"/>
            <w:right w:val="none" w:sz="0" w:space="0" w:color="auto"/>
          </w:divBdr>
        </w:div>
        <w:div w:id="926036439">
          <w:marLeft w:val="288"/>
          <w:marRight w:val="0"/>
          <w:marTop w:val="160"/>
          <w:marBottom w:val="0"/>
          <w:divBdr>
            <w:top w:val="none" w:sz="0" w:space="0" w:color="auto"/>
            <w:left w:val="none" w:sz="0" w:space="0" w:color="auto"/>
            <w:bottom w:val="none" w:sz="0" w:space="0" w:color="auto"/>
            <w:right w:val="none" w:sz="0" w:space="0" w:color="auto"/>
          </w:divBdr>
        </w:div>
        <w:div w:id="487786644">
          <w:marLeft w:val="979"/>
          <w:marRight w:val="0"/>
          <w:marTop w:val="77"/>
          <w:marBottom w:val="0"/>
          <w:divBdr>
            <w:top w:val="none" w:sz="0" w:space="0" w:color="auto"/>
            <w:left w:val="none" w:sz="0" w:space="0" w:color="auto"/>
            <w:bottom w:val="none" w:sz="0" w:space="0" w:color="auto"/>
            <w:right w:val="none" w:sz="0" w:space="0" w:color="auto"/>
          </w:divBdr>
        </w:div>
        <w:div w:id="835152532">
          <w:marLeft w:val="288"/>
          <w:marRight w:val="0"/>
          <w:marTop w:val="160"/>
          <w:marBottom w:val="0"/>
          <w:divBdr>
            <w:top w:val="none" w:sz="0" w:space="0" w:color="auto"/>
            <w:left w:val="none" w:sz="0" w:space="0" w:color="auto"/>
            <w:bottom w:val="none" w:sz="0" w:space="0" w:color="auto"/>
            <w:right w:val="none" w:sz="0" w:space="0" w:color="auto"/>
          </w:divBdr>
        </w:div>
        <w:div w:id="1720326985">
          <w:marLeft w:val="979"/>
          <w:marRight w:val="0"/>
          <w:marTop w:val="77"/>
          <w:marBottom w:val="0"/>
          <w:divBdr>
            <w:top w:val="none" w:sz="0" w:space="0" w:color="auto"/>
            <w:left w:val="none" w:sz="0" w:space="0" w:color="auto"/>
            <w:bottom w:val="none" w:sz="0" w:space="0" w:color="auto"/>
            <w:right w:val="none" w:sz="0" w:space="0" w:color="auto"/>
          </w:divBdr>
        </w:div>
        <w:div w:id="1381242783">
          <w:marLeft w:val="288"/>
          <w:marRight w:val="0"/>
          <w:marTop w:val="160"/>
          <w:marBottom w:val="0"/>
          <w:divBdr>
            <w:top w:val="none" w:sz="0" w:space="0" w:color="auto"/>
            <w:left w:val="none" w:sz="0" w:space="0" w:color="auto"/>
            <w:bottom w:val="none" w:sz="0" w:space="0" w:color="auto"/>
            <w:right w:val="none" w:sz="0" w:space="0" w:color="auto"/>
          </w:divBdr>
        </w:div>
        <w:div w:id="965352147">
          <w:marLeft w:val="979"/>
          <w:marRight w:val="0"/>
          <w:marTop w:val="77"/>
          <w:marBottom w:val="0"/>
          <w:divBdr>
            <w:top w:val="none" w:sz="0" w:space="0" w:color="auto"/>
            <w:left w:val="none" w:sz="0" w:space="0" w:color="auto"/>
            <w:bottom w:val="none" w:sz="0" w:space="0" w:color="auto"/>
            <w:right w:val="none" w:sz="0" w:space="0" w:color="auto"/>
          </w:divBdr>
        </w:div>
      </w:divsChild>
    </w:div>
    <w:div w:id="707485338">
      <w:bodyDiv w:val="1"/>
      <w:marLeft w:val="0"/>
      <w:marRight w:val="0"/>
      <w:marTop w:val="0"/>
      <w:marBottom w:val="0"/>
      <w:divBdr>
        <w:top w:val="none" w:sz="0" w:space="0" w:color="auto"/>
        <w:left w:val="none" w:sz="0" w:space="0" w:color="auto"/>
        <w:bottom w:val="none" w:sz="0" w:space="0" w:color="auto"/>
        <w:right w:val="none" w:sz="0" w:space="0" w:color="auto"/>
      </w:divBdr>
    </w:div>
    <w:div w:id="722602523">
      <w:bodyDiv w:val="1"/>
      <w:marLeft w:val="0"/>
      <w:marRight w:val="0"/>
      <w:marTop w:val="0"/>
      <w:marBottom w:val="0"/>
      <w:divBdr>
        <w:top w:val="none" w:sz="0" w:space="0" w:color="auto"/>
        <w:left w:val="none" w:sz="0" w:space="0" w:color="auto"/>
        <w:bottom w:val="none" w:sz="0" w:space="0" w:color="auto"/>
        <w:right w:val="none" w:sz="0" w:space="0" w:color="auto"/>
      </w:divBdr>
    </w:div>
    <w:div w:id="738286193">
      <w:bodyDiv w:val="1"/>
      <w:marLeft w:val="0"/>
      <w:marRight w:val="0"/>
      <w:marTop w:val="0"/>
      <w:marBottom w:val="0"/>
      <w:divBdr>
        <w:top w:val="none" w:sz="0" w:space="0" w:color="auto"/>
        <w:left w:val="none" w:sz="0" w:space="0" w:color="auto"/>
        <w:bottom w:val="none" w:sz="0" w:space="0" w:color="auto"/>
        <w:right w:val="none" w:sz="0" w:space="0" w:color="auto"/>
      </w:divBdr>
    </w:div>
    <w:div w:id="821316452">
      <w:bodyDiv w:val="1"/>
      <w:marLeft w:val="0"/>
      <w:marRight w:val="0"/>
      <w:marTop w:val="0"/>
      <w:marBottom w:val="0"/>
      <w:divBdr>
        <w:top w:val="none" w:sz="0" w:space="0" w:color="auto"/>
        <w:left w:val="none" w:sz="0" w:space="0" w:color="auto"/>
        <w:bottom w:val="none" w:sz="0" w:space="0" w:color="auto"/>
        <w:right w:val="none" w:sz="0" w:space="0" w:color="auto"/>
      </w:divBdr>
      <w:divsChild>
        <w:div w:id="197009813">
          <w:marLeft w:val="547"/>
          <w:marRight w:val="0"/>
          <w:marTop w:val="77"/>
          <w:marBottom w:val="0"/>
          <w:divBdr>
            <w:top w:val="none" w:sz="0" w:space="0" w:color="auto"/>
            <w:left w:val="none" w:sz="0" w:space="0" w:color="auto"/>
            <w:bottom w:val="none" w:sz="0" w:space="0" w:color="auto"/>
            <w:right w:val="none" w:sz="0" w:space="0" w:color="auto"/>
          </w:divBdr>
        </w:div>
        <w:div w:id="1020739270">
          <w:marLeft w:val="547"/>
          <w:marRight w:val="0"/>
          <w:marTop w:val="77"/>
          <w:marBottom w:val="0"/>
          <w:divBdr>
            <w:top w:val="none" w:sz="0" w:space="0" w:color="auto"/>
            <w:left w:val="none" w:sz="0" w:space="0" w:color="auto"/>
            <w:bottom w:val="none" w:sz="0" w:space="0" w:color="auto"/>
            <w:right w:val="none" w:sz="0" w:space="0" w:color="auto"/>
          </w:divBdr>
        </w:div>
        <w:div w:id="2034577684">
          <w:marLeft w:val="547"/>
          <w:marRight w:val="0"/>
          <w:marTop w:val="77"/>
          <w:marBottom w:val="0"/>
          <w:divBdr>
            <w:top w:val="none" w:sz="0" w:space="0" w:color="auto"/>
            <w:left w:val="none" w:sz="0" w:space="0" w:color="auto"/>
            <w:bottom w:val="none" w:sz="0" w:space="0" w:color="auto"/>
            <w:right w:val="none" w:sz="0" w:space="0" w:color="auto"/>
          </w:divBdr>
        </w:div>
        <w:div w:id="721826010">
          <w:marLeft w:val="547"/>
          <w:marRight w:val="0"/>
          <w:marTop w:val="0"/>
          <w:marBottom w:val="40"/>
          <w:divBdr>
            <w:top w:val="none" w:sz="0" w:space="0" w:color="auto"/>
            <w:left w:val="none" w:sz="0" w:space="0" w:color="auto"/>
            <w:bottom w:val="none" w:sz="0" w:space="0" w:color="auto"/>
            <w:right w:val="none" w:sz="0" w:space="0" w:color="auto"/>
          </w:divBdr>
        </w:div>
        <w:div w:id="900752696">
          <w:marLeft w:val="547"/>
          <w:marRight w:val="0"/>
          <w:marTop w:val="0"/>
          <w:marBottom w:val="40"/>
          <w:divBdr>
            <w:top w:val="none" w:sz="0" w:space="0" w:color="auto"/>
            <w:left w:val="none" w:sz="0" w:space="0" w:color="auto"/>
            <w:bottom w:val="none" w:sz="0" w:space="0" w:color="auto"/>
            <w:right w:val="none" w:sz="0" w:space="0" w:color="auto"/>
          </w:divBdr>
        </w:div>
        <w:div w:id="1377967253">
          <w:marLeft w:val="547"/>
          <w:marRight w:val="0"/>
          <w:marTop w:val="0"/>
          <w:marBottom w:val="40"/>
          <w:divBdr>
            <w:top w:val="none" w:sz="0" w:space="0" w:color="auto"/>
            <w:left w:val="none" w:sz="0" w:space="0" w:color="auto"/>
            <w:bottom w:val="none" w:sz="0" w:space="0" w:color="auto"/>
            <w:right w:val="none" w:sz="0" w:space="0" w:color="auto"/>
          </w:divBdr>
        </w:div>
        <w:div w:id="792093163">
          <w:marLeft w:val="547"/>
          <w:marRight w:val="0"/>
          <w:marTop w:val="0"/>
          <w:marBottom w:val="40"/>
          <w:divBdr>
            <w:top w:val="none" w:sz="0" w:space="0" w:color="auto"/>
            <w:left w:val="none" w:sz="0" w:space="0" w:color="auto"/>
            <w:bottom w:val="none" w:sz="0" w:space="0" w:color="auto"/>
            <w:right w:val="none" w:sz="0" w:space="0" w:color="auto"/>
          </w:divBdr>
        </w:div>
        <w:div w:id="740443017">
          <w:marLeft w:val="547"/>
          <w:marRight w:val="0"/>
          <w:marTop w:val="0"/>
          <w:marBottom w:val="40"/>
          <w:divBdr>
            <w:top w:val="none" w:sz="0" w:space="0" w:color="auto"/>
            <w:left w:val="none" w:sz="0" w:space="0" w:color="auto"/>
            <w:bottom w:val="none" w:sz="0" w:space="0" w:color="auto"/>
            <w:right w:val="none" w:sz="0" w:space="0" w:color="auto"/>
          </w:divBdr>
        </w:div>
        <w:div w:id="1079594361">
          <w:marLeft w:val="547"/>
          <w:marRight w:val="0"/>
          <w:marTop w:val="0"/>
          <w:marBottom w:val="40"/>
          <w:divBdr>
            <w:top w:val="none" w:sz="0" w:space="0" w:color="auto"/>
            <w:left w:val="none" w:sz="0" w:space="0" w:color="auto"/>
            <w:bottom w:val="none" w:sz="0" w:space="0" w:color="auto"/>
            <w:right w:val="none" w:sz="0" w:space="0" w:color="auto"/>
          </w:divBdr>
        </w:div>
        <w:div w:id="844441776">
          <w:marLeft w:val="547"/>
          <w:marRight w:val="0"/>
          <w:marTop w:val="0"/>
          <w:marBottom w:val="40"/>
          <w:divBdr>
            <w:top w:val="none" w:sz="0" w:space="0" w:color="auto"/>
            <w:left w:val="none" w:sz="0" w:space="0" w:color="auto"/>
            <w:bottom w:val="none" w:sz="0" w:space="0" w:color="auto"/>
            <w:right w:val="none" w:sz="0" w:space="0" w:color="auto"/>
          </w:divBdr>
        </w:div>
        <w:div w:id="2017801540">
          <w:marLeft w:val="547"/>
          <w:marRight w:val="0"/>
          <w:marTop w:val="0"/>
          <w:marBottom w:val="40"/>
          <w:divBdr>
            <w:top w:val="none" w:sz="0" w:space="0" w:color="auto"/>
            <w:left w:val="none" w:sz="0" w:space="0" w:color="auto"/>
            <w:bottom w:val="none" w:sz="0" w:space="0" w:color="auto"/>
            <w:right w:val="none" w:sz="0" w:space="0" w:color="auto"/>
          </w:divBdr>
        </w:div>
        <w:div w:id="1473134951">
          <w:marLeft w:val="547"/>
          <w:marRight w:val="0"/>
          <w:marTop w:val="0"/>
          <w:marBottom w:val="40"/>
          <w:divBdr>
            <w:top w:val="none" w:sz="0" w:space="0" w:color="auto"/>
            <w:left w:val="none" w:sz="0" w:space="0" w:color="auto"/>
            <w:bottom w:val="none" w:sz="0" w:space="0" w:color="auto"/>
            <w:right w:val="none" w:sz="0" w:space="0" w:color="auto"/>
          </w:divBdr>
        </w:div>
      </w:divsChild>
    </w:div>
    <w:div w:id="848640679">
      <w:bodyDiv w:val="1"/>
      <w:marLeft w:val="0"/>
      <w:marRight w:val="0"/>
      <w:marTop w:val="0"/>
      <w:marBottom w:val="0"/>
      <w:divBdr>
        <w:top w:val="none" w:sz="0" w:space="0" w:color="auto"/>
        <w:left w:val="none" w:sz="0" w:space="0" w:color="auto"/>
        <w:bottom w:val="none" w:sz="0" w:space="0" w:color="auto"/>
        <w:right w:val="none" w:sz="0" w:space="0" w:color="auto"/>
      </w:divBdr>
    </w:div>
    <w:div w:id="887687963">
      <w:bodyDiv w:val="1"/>
      <w:marLeft w:val="0"/>
      <w:marRight w:val="0"/>
      <w:marTop w:val="0"/>
      <w:marBottom w:val="0"/>
      <w:divBdr>
        <w:top w:val="none" w:sz="0" w:space="0" w:color="auto"/>
        <w:left w:val="none" w:sz="0" w:space="0" w:color="auto"/>
        <w:bottom w:val="none" w:sz="0" w:space="0" w:color="auto"/>
        <w:right w:val="none" w:sz="0" w:space="0" w:color="auto"/>
      </w:divBdr>
    </w:div>
    <w:div w:id="934825678">
      <w:bodyDiv w:val="1"/>
      <w:marLeft w:val="0"/>
      <w:marRight w:val="0"/>
      <w:marTop w:val="0"/>
      <w:marBottom w:val="0"/>
      <w:divBdr>
        <w:top w:val="none" w:sz="0" w:space="0" w:color="auto"/>
        <w:left w:val="none" w:sz="0" w:space="0" w:color="auto"/>
        <w:bottom w:val="none" w:sz="0" w:space="0" w:color="auto"/>
        <w:right w:val="none" w:sz="0" w:space="0" w:color="auto"/>
      </w:divBdr>
      <w:divsChild>
        <w:div w:id="1750301496">
          <w:marLeft w:val="547"/>
          <w:marRight w:val="0"/>
          <w:marTop w:val="96"/>
          <w:marBottom w:val="0"/>
          <w:divBdr>
            <w:top w:val="none" w:sz="0" w:space="0" w:color="auto"/>
            <w:left w:val="none" w:sz="0" w:space="0" w:color="auto"/>
            <w:bottom w:val="none" w:sz="0" w:space="0" w:color="auto"/>
            <w:right w:val="none" w:sz="0" w:space="0" w:color="auto"/>
          </w:divBdr>
        </w:div>
        <w:div w:id="1440179799">
          <w:marLeft w:val="547"/>
          <w:marRight w:val="0"/>
          <w:marTop w:val="96"/>
          <w:marBottom w:val="0"/>
          <w:divBdr>
            <w:top w:val="none" w:sz="0" w:space="0" w:color="auto"/>
            <w:left w:val="none" w:sz="0" w:space="0" w:color="auto"/>
            <w:bottom w:val="none" w:sz="0" w:space="0" w:color="auto"/>
            <w:right w:val="none" w:sz="0" w:space="0" w:color="auto"/>
          </w:divBdr>
        </w:div>
        <w:div w:id="219250075">
          <w:marLeft w:val="547"/>
          <w:marRight w:val="0"/>
          <w:marTop w:val="96"/>
          <w:marBottom w:val="0"/>
          <w:divBdr>
            <w:top w:val="none" w:sz="0" w:space="0" w:color="auto"/>
            <w:left w:val="none" w:sz="0" w:space="0" w:color="auto"/>
            <w:bottom w:val="none" w:sz="0" w:space="0" w:color="auto"/>
            <w:right w:val="none" w:sz="0" w:space="0" w:color="auto"/>
          </w:divBdr>
        </w:div>
        <w:div w:id="1088117989">
          <w:marLeft w:val="547"/>
          <w:marRight w:val="0"/>
          <w:marTop w:val="96"/>
          <w:marBottom w:val="0"/>
          <w:divBdr>
            <w:top w:val="none" w:sz="0" w:space="0" w:color="auto"/>
            <w:left w:val="none" w:sz="0" w:space="0" w:color="auto"/>
            <w:bottom w:val="none" w:sz="0" w:space="0" w:color="auto"/>
            <w:right w:val="none" w:sz="0" w:space="0" w:color="auto"/>
          </w:divBdr>
        </w:div>
        <w:div w:id="915748151">
          <w:marLeft w:val="547"/>
          <w:marRight w:val="0"/>
          <w:marTop w:val="96"/>
          <w:marBottom w:val="0"/>
          <w:divBdr>
            <w:top w:val="none" w:sz="0" w:space="0" w:color="auto"/>
            <w:left w:val="none" w:sz="0" w:space="0" w:color="auto"/>
            <w:bottom w:val="none" w:sz="0" w:space="0" w:color="auto"/>
            <w:right w:val="none" w:sz="0" w:space="0" w:color="auto"/>
          </w:divBdr>
        </w:div>
        <w:div w:id="945769462">
          <w:marLeft w:val="547"/>
          <w:marRight w:val="0"/>
          <w:marTop w:val="96"/>
          <w:marBottom w:val="0"/>
          <w:divBdr>
            <w:top w:val="none" w:sz="0" w:space="0" w:color="auto"/>
            <w:left w:val="none" w:sz="0" w:space="0" w:color="auto"/>
            <w:bottom w:val="none" w:sz="0" w:space="0" w:color="auto"/>
            <w:right w:val="none" w:sz="0" w:space="0" w:color="auto"/>
          </w:divBdr>
        </w:div>
      </w:divsChild>
    </w:div>
    <w:div w:id="990520926">
      <w:bodyDiv w:val="1"/>
      <w:marLeft w:val="0"/>
      <w:marRight w:val="0"/>
      <w:marTop w:val="0"/>
      <w:marBottom w:val="0"/>
      <w:divBdr>
        <w:top w:val="none" w:sz="0" w:space="0" w:color="auto"/>
        <w:left w:val="none" w:sz="0" w:space="0" w:color="auto"/>
        <w:bottom w:val="none" w:sz="0" w:space="0" w:color="auto"/>
        <w:right w:val="none" w:sz="0" w:space="0" w:color="auto"/>
      </w:divBdr>
    </w:div>
    <w:div w:id="1024479130">
      <w:bodyDiv w:val="1"/>
      <w:marLeft w:val="0"/>
      <w:marRight w:val="0"/>
      <w:marTop w:val="0"/>
      <w:marBottom w:val="0"/>
      <w:divBdr>
        <w:top w:val="none" w:sz="0" w:space="0" w:color="auto"/>
        <w:left w:val="none" w:sz="0" w:space="0" w:color="auto"/>
        <w:bottom w:val="none" w:sz="0" w:space="0" w:color="auto"/>
        <w:right w:val="none" w:sz="0" w:space="0" w:color="auto"/>
      </w:divBdr>
    </w:div>
    <w:div w:id="103365587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sChild>
        <w:div w:id="1163862093">
          <w:marLeft w:val="1166"/>
          <w:marRight w:val="0"/>
          <w:marTop w:val="77"/>
          <w:marBottom w:val="0"/>
          <w:divBdr>
            <w:top w:val="none" w:sz="0" w:space="0" w:color="auto"/>
            <w:left w:val="none" w:sz="0" w:space="0" w:color="auto"/>
            <w:bottom w:val="none" w:sz="0" w:space="0" w:color="auto"/>
            <w:right w:val="none" w:sz="0" w:space="0" w:color="auto"/>
          </w:divBdr>
        </w:div>
        <w:div w:id="1231422245">
          <w:marLeft w:val="1166"/>
          <w:marRight w:val="0"/>
          <w:marTop w:val="77"/>
          <w:marBottom w:val="0"/>
          <w:divBdr>
            <w:top w:val="none" w:sz="0" w:space="0" w:color="auto"/>
            <w:left w:val="none" w:sz="0" w:space="0" w:color="auto"/>
            <w:bottom w:val="none" w:sz="0" w:space="0" w:color="auto"/>
            <w:right w:val="none" w:sz="0" w:space="0" w:color="auto"/>
          </w:divBdr>
        </w:div>
      </w:divsChild>
    </w:div>
    <w:div w:id="1066299456">
      <w:bodyDiv w:val="1"/>
      <w:marLeft w:val="0"/>
      <w:marRight w:val="0"/>
      <w:marTop w:val="0"/>
      <w:marBottom w:val="0"/>
      <w:divBdr>
        <w:top w:val="none" w:sz="0" w:space="0" w:color="auto"/>
        <w:left w:val="none" w:sz="0" w:space="0" w:color="auto"/>
        <w:bottom w:val="none" w:sz="0" w:space="0" w:color="auto"/>
        <w:right w:val="none" w:sz="0" w:space="0" w:color="auto"/>
      </w:divBdr>
    </w:div>
    <w:div w:id="1085611157">
      <w:bodyDiv w:val="1"/>
      <w:marLeft w:val="0"/>
      <w:marRight w:val="0"/>
      <w:marTop w:val="0"/>
      <w:marBottom w:val="0"/>
      <w:divBdr>
        <w:top w:val="none" w:sz="0" w:space="0" w:color="auto"/>
        <w:left w:val="none" w:sz="0" w:space="0" w:color="auto"/>
        <w:bottom w:val="none" w:sz="0" w:space="0" w:color="auto"/>
        <w:right w:val="none" w:sz="0" w:space="0" w:color="auto"/>
      </w:divBdr>
    </w:div>
    <w:div w:id="1104303093">
      <w:bodyDiv w:val="1"/>
      <w:marLeft w:val="0"/>
      <w:marRight w:val="0"/>
      <w:marTop w:val="0"/>
      <w:marBottom w:val="0"/>
      <w:divBdr>
        <w:top w:val="none" w:sz="0" w:space="0" w:color="auto"/>
        <w:left w:val="none" w:sz="0" w:space="0" w:color="auto"/>
        <w:bottom w:val="none" w:sz="0" w:space="0" w:color="auto"/>
        <w:right w:val="none" w:sz="0" w:space="0" w:color="auto"/>
      </w:divBdr>
    </w:div>
    <w:div w:id="1129860835">
      <w:bodyDiv w:val="1"/>
      <w:marLeft w:val="0"/>
      <w:marRight w:val="0"/>
      <w:marTop w:val="0"/>
      <w:marBottom w:val="0"/>
      <w:divBdr>
        <w:top w:val="none" w:sz="0" w:space="0" w:color="auto"/>
        <w:left w:val="none" w:sz="0" w:space="0" w:color="auto"/>
        <w:bottom w:val="none" w:sz="0" w:space="0" w:color="auto"/>
        <w:right w:val="none" w:sz="0" w:space="0" w:color="auto"/>
      </w:divBdr>
      <w:divsChild>
        <w:div w:id="737940516">
          <w:marLeft w:val="1166"/>
          <w:marRight w:val="0"/>
          <w:marTop w:val="96"/>
          <w:marBottom w:val="0"/>
          <w:divBdr>
            <w:top w:val="none" w:sz="0" w:space="0" w:color="auto"/>
            <w:left w:val="none" w:sz="0" w:space="0" w:color="auto"/>
            <w:bottom w:val="none" w:sz="0" w:space="0" w:color="auto"/>
            <w:right w:val="none" w:sz="0" w:space="0" w:color="auto"/>
          </w:divBdr>
        </w:div>
        <w:div w:id="299267871">
          <w:marLeft w:val="1166"/>
          <w:marRight w:val="0"/>
          <w:marTop w:val="96"/>
          <w:marBottom w:val="0"/>
          <w:divBdr>
            <w:top w:val="none" w:sz="0" w:space="0" w:color="auto"/>
            <w:left w:val="none" w:sz="0" w:space="0" w:color="auto"/>
            <w:bottom w:val="none" w:sz="0" w:space="0" w:color="auto"/>
            <w:right w:val="none" w:sz="0" w:space="0" w:color="auto"/>
          </w:divBdr>
        </w:div>
        <w:div w:id="849374081">
          <w:marLeft w:val="1166"/>
          <w:marRight w:val="0"/>
          <w:marTop w:val="96"/>
          <w:marBottom w:val="0"/>
          <w:divBdr>
            <w:top w:val="none" w:sz="0" w:space="0" w:color="auto"/>
            <w:left w:val="none" w:sz="0" w:space="0" w:color="auto"/>
            <w:bottom w:val="none" w:sz="0" w:space="0" w:color="auto"/>
            <w:right w:val="none" w:sz="0" w:space="0" w:color="auto"/>
          </w:divBdr>
        </w:div>
        <w:div w:id="1581139288">
          <w:marLeft w:val="1166"/>
          <w:marRight w:val="0"/>
          <w:marTop w:val="96"/>
          <w:marBottom w:val="0"/>
          <w:divBdr>
            <w:top w:val="none" w:sz="0" w:space="0" w:color="auto"/>
            <w:left w:val="none" w:sz="0" w:space="0" w:color="auto"/>
            <w:bottom w:val="none" w:sz="0" w:space="0" w:color="auto"/>
            <w:right w:val="none" w:sz="0" w:space="0" w:color="auto"/>
          </w:divBdr>
        </w:div>
        <w:div w:id="691804050">
          <w:marLeft w:val="1166"/>
          <w:marRight w:val="0"/>
          <w:marTop w:val="96"/>
          <w:marBottom w:val="0"/>
          <w:divBdr>
            <w:top w:val="none" w:sz="0" w:space="0" w:color="auto"/>
            <w:left w:val="none" w:sz="0" w:space="0" w:color="auto"/>
            <w:bottom w:val="none" w:sz="0" w:space="0" w:color="auto"/>
            <w:right w:val="none" w:sz="0" w:space="0" w:color="auto"/>
          </w:divBdr>
        </w:div>
      </w:divsChild>
    </w:div>
    <w:div w:id="1149202178">
      <w:bodyDiv w:val="1"/>
      <w:marLeft w:val="0"/>
      <w:marRight w:val="0"/>
      <w:marTop w:val="0"/>
      <w:marBottom w:val="0"/>
      <w:divBdr>
        <w:top w:val="none" w:sz="0" w:space="0" w:color="auto"/>
        <w:left w:val="none" w:sz="0" w:space="0" w:color="auto"/>
        <w:bottom w:val="none" w:sz="0" w:space="0" w:color="auto"/>
        <w:right w:val="none" w:sz="0" w:space="0" w:color="auto"/>
      </w:divBdr>
    </w:div>
    <w:div w:id="1157572136">
      <w:bodyDiv w:val="1"/>
      <w:marLeft w:val="0"/>
      <w:marRight w:val="0"/>
      <w:marTop w:val="0"/>
      <w:marBottom w:val="0"/>
      <w:divBdr>
        <w:top w:val="none" w:sz="0" w:space="0" w:color="auto"/>
        <w:left w:val="none" w:sz="0" w:space="0" w:color="auto"/>
        <w:bottom w:val="none" w:sz="0" w:space="0" w:color="auto"/>
        <w:right w:val="none" w:sz="0" w:space="0" w:color="auto"/>
      </w:divBdr>
    </w:div>
    <w:div w:id="1185749509">
      <w:bodyDiv w:val="1"/>
      <w:marLeft w:val="0"/>
      <w:marRight w:val="0"/>
      <w:marTop w:val="0"/>
      <w:marBottom w:val="0"/>
      <w:divBdr>
        <w:top w:val="none" w:sz="0" w:space="0" w:color="auto"/>
        <w:left w:val="none" w:sz="0" w:space="0" w:color="auto"/>
        <w:bottom w:val="none" w:sz="0" w:space="0" w:color="auto"/>
        <w:right w:val="none" w:sz="0" w:space="0" w:color="auto"/>
      </w:divBdr>
      <w:divsChild>
        <w:div w:id="45957769">
          <w:marLeft w:val="547"/>
          <w:marRight w:val="0"/>
          <w:marTop w:val="96"/>
          <w:marBottom w:val="120"/>
          <w:divBdr>
            <w:top w:val="none" w:sz="0" w:space="0" w:color="auto"/>
            <w:left w:val="none" w:sz="0" w:space="0" w:color="auto"/>
            <w:bottom w:val="none" w:sz="0" w:space="0" w:color="auto"/>
            <w:right w:val="none" w:sz="0" w:space="0" w:color="auto"/>
          </w:divBdr>
        </w:div>
        <w:div w:id="310673334">
          <w:marLeft w:val="547"/>
          <w:marRight w:val="0"/>
          <w:marTop w:val="96"/>
          <w:marBottom w:val="120"/>
          <w:divBdr>
            <w:top w:val="none" w:sz="0" w:space="0" w:color="auto"/>
            <w:left w:val="none" w:sz="0" w:space="0" w:color="auto"/>
            <w:bottom w:val="none" w:sz="0" w:space="0" w:color="auto"/>
            <w:right w:val="none" w:sz="0" w:space="0" w:color="auto"/>
          </w:divBdr>
        </w:div>
        <w:div w:id="401223415">
          <w:marLeft w:val="547"/>
          <w:marRight w:val="0"/>
          <w:marTop w:val="96"/>
          <w:marBottom w:val="120"/>
          <w:divBdr>
            <w:top w:val="none" w:sz="0" w:space="0" w:color="auto"/>
            <w:left w:val="none" w:sz="0" w:space="0" w:color="auto"/>
            <w:bottom w:val="none" w:sz="0" w:space="0" w:color="auto"/>
            <w:right w:val="none" w:sz="0" w:space="0" w:color="auto"/>
          </w:divBdr>
        </w:div>
        <w:div w:id="699472627">
          <w:marLeft w:val="547"/>
          <w:marRight w:val="0"/>
          <w:marTop w:val="96"/>
          <w:marBottom w:val="120"/>
          <w:divBdr>
            <w:top w:val="none" w:sz="0" w:space="0" w:color="auto"/>
            <w:left w:val="none" w:sz="0" w:space="0" w:color="auto"/>
            <w:bottom w:val="none" w:sz="0" w:space="0" w:color="auto"/>
            <w:right w:val="none" w:sz="0" w:space="0" w:color="auto"/>
          </w:divBdr>
        </w:div>
        <w:div w:id="525801005">
          <w:marLeft w:val="547"/>
          <w:marRight w:val="0"/>
          <w:marTop w:val="96"/>
          <w:marBottom w:val="120"/>
          <w:divBdr>
            <w:top w:val="none" w:sz="0" w:space="0" w:color="auto"/>
            <w:left w:val="none" w:sz="0" w:space="0" w:color="auto"/>
            <w:bottom w:val="none" w:sz="0" w:space="0" w:color="auto"/>
            <w:right w:val="none" w:sz="0" w:space="0" w:color="auto"/>
          </w:divBdr>
        </w:div>
        <w:div w:id="1595941465">
          <w:marLeft w:val="547"/>
          <w:marRight w:val="0"/>
          <w:marTop w:val="96"/>
          <w:marBottom w:val="120"/>
          <w:divBdr>
            <w:top w:val="none" w:sz="0" w:space="0" w:color="auto"/>
            <w:left w:val="none" w:sz="0" w:space="0" w:color="auto"/>
            <w:bottom w:val="none" w:sz="0" w:space="0" w:color="auto"/>
            <w:right w:val="none" w:sz="0" w:space="0" w:color="auto"/>
          </w:divBdr>
        </w:div>
        <w:div w:id="384374360">
          <w:marLeft w:val="547"/>
          <w:marRight w:val="0"/>
          <w:marTop w:val="96"/>
          <w:marBottom w:val="120"/>
          <w:divBdr>
            <w:top w:val="none" w:sz="0" w:space="0" w:color="auto"/>
            <w:left w:val="none" w:sz="0" w:space="0" w:color="auto"/>
            <w:bottom w:val="none" w:sz="0" w:space="0" w:color="auto"/>
            <w:right w:val="none" w:sz="0" w:space="0" w:color="auto"/>
          </w:divBdr>
        </w:div>
      </w:divsChild>
    </w:div>
    <w:div w:id="1190606260">
      <w:bodyDiv w:val="1"/>
      <w:marLeft w:val="0"/>
      <w:marRight w:val="0"/>
      <w:marTop w:val="0"/>
      <w:marBottom w:val="0"/>
      <w:divBdr>
        <w:top w:val="none" w:sz="0" w:space="0" w:color="auto"/>
        <w:left w:val="none" w:sz="0" w:space="0" w:color="auto"/>
        <w:bottom w:val="none" w:sz="0" w:space="0" w:color="auto"/>
        <w:right w:val="none" w:sz="0" w:space="0" w:color="auto"/>
      </w:divBdr>
      <w:divsChild>
        <w:div w:id="716244451">
          <w:marLeft w:val="1166"/>
          <w:marRight w:val="0"/>
          <w:marTop w:val="96"/>
          <w:marBottom w:val="0"/>
          <w:divBdr>
            <w:top w:val="none" w:sz="0" w:space="0" w:color="auto"/>
            <w:left w:val="none" w:sz="0" w:space="0" w:color="auto"/>
            <w:bottom w:val="none" w:sz="0" w:space="0" w:color="auto"/>
            <w:right w:val="none" w:sz="0" w:space="0" w:color="auto"/>
          </w:divBdr>
        </w:div>
        <w:div w:id="934902893">
          <w:marLeft w:val="1166"/>
          <w:marRight w:val="0"/>
          <w:marTop w:val="96"/>
          <w:marBottom w:val="0"/>
          <w:divBdr>
            <w:top w:val="none" w:sz="0" w:space="0" w:color="auto"/>
            <w:left w:val="none" w:sz="0" w:space="0" w:color="auto"/>
            <w:bottom w:val="none" w:sz="0" w:space="0" w:color="auto"/>
            <w:right w:val="none" w:sz="0" w:space="0" w:color="auto"/>
          </w:divBdr>
        </w:div>
        <w:div w:id="449932598">
          <w:marLeft w:val="1166"/>
          <w:marRight w:val="0"/>
          <w:marTop w:val="96"/>
          <w:marBottom w:val="0"/>
          <w:divBdr>
            <w:top w:val="none" w:sz="0" w:space="0" w:color="auto"/>
            <w:left w:val="none" w:sz="0" w:space="0" w:color="auto"/>
            <w:bottom w:val="none" w:sz="0" w:space="0" w:color="auto"/>
            <w:right w:val="none" w:sz="0" w:space="0" w:color="auto"/>
          </w:divBdr>
        </w:div>
        <w:div w:id="260113416">
          <w:marLeft w:val="1166"/>
          <w:marRight w:val="0"/>
          <w:marTop w:val="96"/>
          <w:marBottom w:val="0"/>
          <w:divBdr>
            <w:top w:val="none" w:sz="0" w:space="0" w:color="auto"/>
            <w:left w:val="none" w:sz="0" w:space="0" w:color="auto"/>
            <w:bottom w:val="none" w:sz="0" w:space="0" w:color="auto"/>
            <w:right w:val="none" w:sz="0" w:space="0" w:color="auto"/>
          </w:divBdr>
        </w:div>
        <w:div w:id="1532960145">
          <w:marLeft w:val="1166"/>
          <w:marRight w:val="0"/>
          <w:marTop w:val="96"/>
          <w:marBottom w:val="0"/>
          <w:divBdr>
            <w:top w:val="none" w:sz="0" w:space="0" w:color="auto"/>
            <w:left w:val="none" w:sz="0" w:space="0" w:color="auto"/>
            <w:bottom w:val="none" w:sz="0" w:space="0" w:color="auto"/>
            <w:right w:val="none" w:sz="0" w:space="0" w:color="auto"/>
          </w:divBdr>
        </w:div>
      </w:divsChild>
    </w:div>
    <w:div w:id="1239633881">
      <w:bodyDiv w:val="1"/>
      <w:marLeft w:val="0"/>
      <w:marRight w:val="0"/>
      <w:marTop w:val="0"/>
      <w:marBottom w:val="0"/>
      <w:divBdr>
        <w:top w:val="none" w:sz="0" w:space="0" w:color="auto"/>
        <w:left w:val="none" w:sz="0" w:space="0" w:color="auto"/>
        <w:bottom w:val="none" w:sz="0" w:space="0" w:color="auto"/>
        <w:right w:val="none" w:sz="0" w:space="0" w:color="auto"/>
      </w:divBdr>
    </w:div>
    <w:div w:id="1243641413">
      <w:bodyDiv w:val="1"/>
      <w:marLeft w:val="0"/>
      <w:marRight w:val="0"/>
      <w:marTop w:val="0"/>
      <w:marBottom w:val="0"/>
      <w:divBdr>
        <w:top w:val="none" w:sz="0" w:space="0" w:color="auto"/>
        <w:left w:val="none" w:sz="0" w:space="0" w:color="auto"/>
        <w:bottom w:val="none" w:sz="0" w:space="0" w:color="auto"/>
        <w:right w:val="none" w:sz="0" w:space="0" w:color="auto"/>
      </w:divBdr>
    </w:div>
    <w:div w:id="1246918251">
      <w:bodyDiv w:val="1"/>
      <w:marLeft w:val="0"/>
      <w:marRight w:val="0"/>
      <w:marTop w:val="0"/>
      <w:marBottom w:val="0"/>
      <w:divBdr>
        <w:top w:val="none" w:sz="0" w:space="0" w:color="auto"/>
        <w:left w:val="none" w:sz="0" w:space="0" w:color="auto"/>
        <w:bottom w:val="none" w:sz="0" w:space="0" w:color="auto"/>
        <w:right w:val="none" w:sz="0" w:space="0" w:color="auto"/>
      </w:divBdr>
    </w:div>
    <w:div w:id="1266159658">
      <w:bodyDiv w:val="1"/>
      <w:marLeft w:val="0"/>
      <w:marRight w:val="0"/>
      <w:marTop w:val="0"/>
      <w:marBottom w:val="0"/>
      <w:divBdr>
        <w:top w:val="none" w:sz="0" w:space="0" w:color="auto"/>
        <w:left w:val="none" w:sz="0" w:space="0" w:color="auto"/>
        <w:bottom w:val="none" w:sz="0" w:space="0" w:color="auto"/>
        <w:right w:val="none" w:sz="0" w:space="0" w:color="auto"/>
      </w:divBdr>
    </w:div>
    <w:div w:id="1301501375">
      <w:bodyDiv w:val="1"/>
      <w:marLeft w:val="0"/>
      <w:marRight w:val="0"/>
      <w:marTop w:val="0"/>
      <w:marBottom w:val="0"/>
      <w:divBdr>
        <w:top w:val="none" w:sz="0" w:space="0" w:color="auto"/>
        <w:left w:val="none" w:sz="0" w:space="0" w:color="auto"/>
        <w:bottom w:val="none" w:sz="0" w:space="0" w:color="auto"/>
        <w:right w:val="none" w:sz="0" w:space="0" w:color="auto"/>
      </w:divBdr>
    </w:div>
    <w:div w:id="1305742505">
      <w:bodyDiv w:val="1"/>
      <w:marLeft w:val="0"/>
      <w:marRight w:val="0"/>
      <w:marTop w:val="0"/>
      <w:marBottom w:val="0"/>
      <w:divBdr>
        <w:top w:val="none" w:sz="0" w:space="0" w:color="auto"/>
        <w:left w:val="none" w:sz="0" w:space="0" w:color="auto"/>
        <w:bottom w:val="none" w:sz="0" w:space="0" w:color="auto"/>
        <w:right w:val="none" w:sz="0" w:space="0" w:color="auto"/>
      </w:divBdr>
      <w:divsChild>
        <w:div w:id="199897688">
          <w:marLeft w:val="288"/>
          <w:marRight w:val="0"/>
          <w:marTop w:val="86"/>
          <w:marBottom w:val="0"/>
          <w:divBdr>
            <w:top w:val="none" w:sz="0" w:space="0" w:color="auto"/>
            <w:left w:val="none" w:sz="0" w:space="0" w:color="auto"/>
            <w:bottom w:val="none" w:sz="0" w:space="0" w:color="auto"/>
            <w:right w:val="none" w:sz="0" w:space="0" w:color="auto"/>
          </w:divBdr>
        </w:div>
        <w:div w:id="1827166600">
          <w:marLeft w:val="979"/>
          <w:marRight w:val="0"/>
          <w:marTop w:val="77"/>
          <w:marBottom w:val="0"/>
          <w:divBdr>
            <w:top w:val="none" w:sz="0" w:space="0" w:color="auto"/>
            <w:left w:val="none" w:sz="0" w:space="0" w:color="auto"/>
            <w:bottom w:val="none" w:sz="0" w:space="0" w:color="auto"/>
            <w:right w:val="none" w:sz="0" w:space="0" w:color="auto"/>
          </w:divBdr>
        </w:div>
        <w:div w:id="1660498594">
          <w:marLeft w:val="979"/>
          <w:marRight w:val="0"/>
          <w:marTop w:val="77"/>
          <w:marBottom w:val="0"/>
          <w:divBdr>
            <w:top w:val="none" w:sz="0" w:space="0" w:color="auto"/>
            <w:left w:val="none" w:sz="0" w:space="0" w:color="auto"/>
            <w:bottom w:val="none" w:sz="0" w:space="0" w:color="auto"/>
            <w:right w:val="none" w:sz="0" w:space="0" w:color="auto"/>
          </w:divBdr>
        </w:div>
        <w:div w:id="19283443">
          <w:marLeft w:val="288"/>
          <w:marRight w:val="0"/>
          <w:marTop w:val="160"/>
          <w:marBottom w:val="0"/>
          <w:divBdr>
            <w:top w:val="none" w:sz="0" w:space="0" w:color="auto"/>
            <w:left w:val="none" w:sz="0" w:space="0" w:color="auto"/>
            <w:bottom w:val="none" w:sz="0" w:space="0" w:color="auto"/>
            <w:right w:val="none" w:sz="0" w:space="0" w:color="auto"/>
          </w:divBdr>
        </w:div>
        <w:div w:id="535237539">
          <w:marLeft w:val="979"/>
          <w:marRight w:val="0"/>
          <w:marTop w:val="77"/>
          <w:marBottom w:val="0"/>
          <w:divBdr>
            <w:top w:val="none" w:sz="0" w:space="0" w:color="auto"/>
            <w:left w:val="none" w:sz="0" w:space="0" w:color="auto"/>
            <w:bottom w:val="none" w:sz="0" w:space="0" w:color="auto"/>
            <w:right w:val="none" w:sz="0" w:space="0" w:color="auto"/>
          </w:divBdr>
        </w:div>
        <w:div w:id="1669475675">
          <w:marLeft w:val="288"/>
          <w:marRight w:val="0"/>
          <w:marTop w:val="160"/>
          <w:marBottom w:val="0"/>
          <w:divBdr>
            <w:top w:val="none" w:sz="0" w:space="0" w:color="auto"/>
            <w:left w:val="none" w:sz="0" w:space="0" w:color="auto"/>
            <w:bottom w:val="none" w:sz="0" w:space="0" w:color="auto"/>
            <w:right w:val="none" w:sz="0" w:space="0" w:color="auto"/>
          </w:divBdr>
        </w:div>
        <w:div w:id="92020507">
          <w:marLeft w:val="979"/>
          <w:marRight w:val="0"/>
          <w:marTop w:val="77"/>
          <w:marBottom w:val="0"/>
          <w:divBdr>
            <w:top w:val="none" w:sz="0" w:space="0" w:color="auto"/>
            <w:left w:val="none" w:sz="0" w:space="0" w:color="auto"/>
            <w:bottom w:val="none" w:sz="0" w:space="0" w:color="auto"/>
            <w:right w:val="none" w:sz="0" w:space="0" w:color="auto"/>
          </w:divBdr>
        </w:div>
        <w:div w:id="1665737150">
          <w:marLeft w:val="979"/>
          <w:marRight w:val="0"/>
          <w:marTop w:val="77"/>
          <w:marBottom w:val="0"/>
          <w:divBdr>
            <w:top w:val="none" w:sz="0" w:space="0" w:color="auto"/>
            <w:left w:val="none" w:sz="0" w:space="0" w:color="auto"/>
            <w:bottom w:val="none" w:sz="0" w:space="0" w:color="auto"/>
            <w:right w:val="none" w:sz="0" w:space="0" w:color="auto"/>
          </w:divBdr>
        </w:div>
        <w:div w:id="84111590">
          <w:marLeft w:val="288"/>
          <w:marRight w:val="0"/>
          <w:marTop w:val="160"/>
          <w:marBottom w:val="0"/>
          <w:divBdr>
            <w:top w:val="none" w:sz="0" w:space="0" w:color="auto"/>
            <w:left w:val="none" w:sz="0" w:space="0" w:color="auto"/>
            <w:bottom w:val="none" w:sz="0" w:space="0" w:color="auto"/>
            <w:right w:val="none" w:sz="0" w:space="0" w:color="auto"/>
          </w:divBdr>
        </w:div>
        <w:div w:id="1157645372">
          <w:marLeft w:val="979"/>
          <w:marRight w:val="0"/>
          <w:marTop w:val="77"/>
          <w:marBottom w:val="0"/>
          <w:divBdr>
            <w:top w:val="none" w:sz="0" w:space="0" w:color="auto"/>
            <w:left w:val="none" w:sz="0" w:space="0" w:color="auto"/>
            <w:bottom w:val="none" w:sz="0" w:space="0" w:color="auto"/>
            <w:right w:val="none" w:sz="0" w:space="0" w:color="auto"/>
          </w:divBdr>
        </w:div>
        <w:div w:id="1041705971">
          <w:marLeft w:val="288"/>
          <w:marRight w:val="0"/>
          <w:marTop w:val="160"/>
          <w:marBottom w:val="0"/>
          <w:divBdr>
            <w:top w:val="none" w:sz="0" w:space="0" w:color="auto"/>
            <w:left w:val="none" w:sz="0" w:space="0" w:color="auto"/>
            <w:bottom w:val="none" w:sz="0" w:space="0" w:color="auto"/>
            <w:right w:val="none" w:sz="0" w:space="0" w:color="auto"/>
          </w:divBdr>
        </w:div>
        <w:div w:id="573397747">
          <w:marLeft w:val="979"/>
          <w:marRight w:val="0"/>
          <w:marTop w:val="77"/>
          <w:marBottom w:val="0"/>
          <w:divBdr>
            <w:top w:val="none" w:sz="0" w:space="0" w:color="auto"/>
            <w:left w:val="none" w:sz="0" w:space="0" w:color="auto"/>
            <w:bottom w:val="none" w:sz="0" w:space="0" w:color="auto"/>
            <w:right w:val="none" w:sz="0" w:space="0" w:color="auto"/>
          </w:divBdr>
        </w:div>
        <w:div w:id="1077437989">
          <w:marLeft w:val="288"/>
          <w:marRight w:val="0"/>
          <w:marTop w:val="160"/>
          <w:marBottom w:val="0"/>
          <w:divBdr>
            <w:top w:val="none" w:sz="0" w:space="0" w:color="auto"/>
            <w:left w:val="none" w:sz="0" w:space="0" w:color="auto"/>
            <w:bottom w:val="none" w:sz="0" w:space="0" w:color="auto"/>
            <w:right w:val="none" w:sz="0" w:space="0" w:color="auto"/>
          </w:divBdr>
        </w:div>
        <w:div w:id="1285500283">
          <w:marLeft w:val="979"/>
          <w:marRight w:val="0"/>
          <w:marTop w:val="77"/>
          <w:marBottom w:val="0"/>
          <w:divBdr>
            <w:top w:val="none" w:sz="0" w:space="0" w:color="auto"/>
            <w:left w:val="none" w:sz="0" w:space="0" w:color="auto"/>
            <w:bottom w:val="none" w:sz="0" w:space="0" w:color="auto"/>
            <w:right w:val="none" w:sz="0" w:space="0" w:color="auto"/>
          </w:divBdr>
        </w:div>
      </w:divsChild>
    </w:div>
    <w:div w:id="1331441652">
      <w:bodyDiv w:val="1"/>
      <w:marLeft w:val="0"/>
      <w:marRight w:val="0"/>
      <w:marTop w:val="0"/>
      <w:marBottom w:val="0"/>
      <w:divBdr>
        <w:top w:val="none" w:sz="0" w:space="0" w:color="auto"/>
        <w:left w:val="none" w:sz="0" w:space="0" w:color="auto"/>
        <w:bottom w:val="none" w:sz="0" w:space="0" w:color="auto"/>
        <w:right w:val="none" w:sz="0" w:space="0" w:color="auto"/>
      </w:divBdr>
    </w:div>
    <w:div w:id="1341931566">
      <w:bodyDiv w:val="1"/>
      <w:marLeft w:val="0"/>
      <w:marRight w:val="0"/>
      <w:marTop w:val="0"/>
      <w:marBottom w:val="0"/>
      <w:divBdr>
        <w:top w:val="none" w:sz="0" w:space="0" w:color="auto"/>
        <w:left w:val="none" w:sz="0" w:space="0" w:color="auto"/>
        <w:bottom w:val="none" w:sz="0" w:space="0" w:color="auto"/>
        <w:right w:val="none" w:sz="0" w:space="0" w:color="auto"/>
      </w:divBdr>
    </w:div>
    <w:div w:id="1347633745">
      <w:bodyDiv w:val="1"/>
      <w:marLeft w:val="0"/>
      <w:marRight w:val="0"/>
      <w:marTop w:val="0"/>
      <w:marBottom w:val="0"/>
      <w:divBdr>
        <w:top w:val="none" w:sz="0" w:space="0" w:color="auto"/>
        <w:left w:val="none" w:sz="0" w:space="0" w:color="auto"/>
        <w:bottom w:val="none" w:sz="0" w:space="0" w:color="auto"/>
        <w:right w:val="none" w:sz="0" w:space="0" w:color="auto"/>
      </w:divBdr>
    </w:div>
    <w:div w:id="1350640309">
      <w:bodyDiv w:val="1"/>
      <w:marLeft w:val="0"/>
      <w:marRight w:val="0"/>
      <w:marTop w:val="0"/>
      <w:marBottom w:val="0"/>
      <w:divBdr>
        <w:top w:val="none" w:sz="0" w:space="0" w:color="auto"/>
        <w:left w:val="none" w:sz="0" w:space="0" w:color="auto"/>
        <w:bottom w:val="none" w:sz="0" w:space="0" w:color="auto"/>
        <w:right w:val="none" w:sz="0" w:space="0" w:color="auto"/>
      </w:divBdr>
    </w:div>
    <w:div w:id="1424842267">
      <w:bodyDiv w:val="1"/>
      <w:marLeft w:val="0"/>
      <w:marRight w:val="0"/>
      <w:marTop w:val="0"/>
      <w:marBottom w:val="0"/>
      <w:divBdr>
        <w:top w:val="none" w:sz="0" w:space="0" w:color="auto"/>
        <w:left w:val="none" w:sz="0" w:space="0" w:color="auto"/>
        <w:bottom w:val="none" w:sz="0" w:space="0" w:color="auto"/>
        <w:right w:val="none" w:sz="0" w:space="0" w:color="auto"/>
      </w:divBdr>
      <w:divsChild>
        <w:div w:id="2082868771">
          <w:marLeft w:val="835"/>
          <w:marRight w:val="0"/>
          <w:marTop w:val="60"/>
          <w:marBottom w:val="60"/>
          <w:divBdr>
            <w:top w:val="none" w:sz="0" w:space="0" w:color="auto"/>
            <w:left w:val="none" w:sz="0" w:space="0" w:color="auto"/>
            <w:bottom w:val="none" w:sz="0" w:space="0" w:color="auto"/>
            <w:right w:val="none" w:sz="0" w:space="0" w:color="auto"/>
          </w:divBdr>
        </w:div>
        <w:div w:id="483670625">
          <w:marLeft w:val="835"/>
          <w:marRight w:val="0"/>
          <w:marTop w:val="60"/>
          <w:marBottom w:val="60"/>
          <w:divBdr>
            <w:top w:val="none" w:sz="0" w:space="0" w:color="auto"/>
            <w:left w:val="none" w:sz="0" w:space="0" w:color="auto"/>
            <w:bottom w:val="none" w:sz="0" w:space="0" w:color="auto"/>
            <w:right w:val="none" w:sz="0" w:space="0" w:color="auto"/>
          </w:divBdr>
        </w:div>
        <w:div w:id="1537936255">
          <w:marLeft w:val="835"/>
          <w:marRight w:val="0"/>
          <w:marTop w:val="60"/>
          <w:marBottom w:val="60"/>
          <w:divBdr>
            <w:top w:val="none" w:sz="0" w:space="0" w:color="auto"/>
            <w:left w:val="none" w:sz="0" w:space="0" w:color="auto"/>
            <w:bottom w:val="none" w:sz="0" w:space="0" w:color="auto"/>
            <w:right w:val="none" w:sz="0" w:space="0" w:color="auto"/>
          </w:divBdr>
        </w:div>
        <w:div w:id="155347334">
          <w:marLeft w:val="835"/>
          <w:marRight w:val="0"/>
          <w:marTop w:val="60"/>
          <w:marBottom w:val="60"/>
          <w:divBdr>
            <w:top w:val="none" w:sz="0" w:space="0" w:color="auto"/>
            <w:left w:val="none" w:sz="0" w:space="0" w:color="auto"/>
            <w:bottom w:val="none" w:sz="0" w:space="0" w:color="auto"/>
            <w:right w:val="none" w:sz="0" w:space="0" w:color="auto"/>
          </w:divBdr>
        </w:div>
        <w:div w:id="1894583482">
          <w:marLeft w:val="835"/>
          <w:marRight w:val="0"/>
          <w:marTop w:val="60"/>
          <w:marBottom w:val="60"/>
          <w:divBdr>
            <w:top w:val="none" w:sz="0" w:space="0" w:color="auto"/>
            <w:left w:val="none" w:sz="0" w:space="0" w:color="auto"/>
            <w:bottom w:val="none" w:sz="0" w:space="0" w:color="auto"/>
            <w:right w:val="none" w:sz="0" w:space="0" w:color="auto"/>
          </w:divBdr>
        </w:div>
        <w:div w:id="85082762">
          <w:marLeft w:val="835"/>
          <w:marRight w:val="0"/>
          <w:marTop w:val="60"/>
          <w:marBottom w:val="60"/>
          <w:divBdr>
            <w:top w:val="none" w:sz="0" w:space="0" w:color="auto"/>
            <w:left w:val="none" w:sz="0" w:space="0" w:color="auto"/>
            <w:bottom w:val="none" w:sz="0" w:space="0" w:color="auto"/>
            <w:right w:val="none" w:sz="0" w:space="0" w:color="auto"/>
          </w:divBdr>
        </w:div>
        <w:div w:id="1629319101">
          <w:marLeft w:val="835"/>
          <w:marRight w:val="0"/>
          <w:marTop w:val="60"/>
          <w:marBottom w:val="60"/>
          <w:divBdr>
            <w:top w:val="none" w:sz="0" w:space="0" w:color="auto"/>
            <w:left w:val="none" w:sz="0" w:space="0" w:color="auto"/>
            <w:bottom w:val="none" w:sz="0" w:space="0" w:color="auto"/>
            <w:right w:val="none" w:sz="0" w:space="0" w:color="auto"/>
          </w:divBdr>
        </w:div>
      </w:divsChild>
    </w:div>
    <w:div w:id="1430203114">
      <w:bodyDiv w:val="1"/>
      <w:marLeft w:val="0"/>
      <w:marRight w:val="0"/>
      <w:marTop w:val="0"/>
      <w:marBottom w:val="0"/>
      <w:divBdr>
        <w:top w:val="none" w:sz="0" w:space="0" w:color="auto"/>
        <w:left w:val="none" w:sz="0" w:space="0" w:color="auto"/>
        <w:bottom w:val="none" w:sz="0" w:space="0" w:color="auto"/>
        <w:right w:val="none" w:sz="0" w:space="0" w:color="auto"/>
      </w:divBdr>
      <w:divsChild>
        <w:div w:id="1842424602">
          <w:marLeft w:val="1800"/>
          <w:marRight w:val="0"/>
          <w:marTop w:val="96"/>
          <w:marBottom w:val="0"/>
          <w:divBdr>
            <w:top w:val="none" w:sz="0" w:space="0" w:color="auto"/>
            <w:left w:val="none" w:sz="0" w:space="0" w:color="auto"/>
            <w:bottom w:val="none" w:sz="0" w:space="0" w:color="auto"/>
            <w:right w:val="none" w:sz="0" w:space="0" w:color="auto"/>
          </w:divBdr>
        </w:div>
        <w:div w:id="537206903">
          <w:marLeft w:val="1800"/>
          <w:marRight w:val="0"/>
          <w:marTop w:val="96"/>
          <w:marBottom w:val="0"/>
          <w:divBdr>
            <w:top w:val="none" w:sz="0" w:space="0" w:color="auto"/>
            <w:left w:val="none" w:sz="0" w:space="0" w:color="auto"/>
            <w:bottom w:val="none" w:sz="0" w:space="0" w:color="auto"/>
            <w:right w:val="none" w:sz="0" w:space="0" w:color="auto"/>
          </w:divBdr>
        </w:div>
        <w:div w:id="2026708710">
          <w:marLeft w:val="1800"/>
          <w:marRight w:val="0"/>
          <w:marTop w:val="96"/>
          <w:marBottom w:val="0"/>
          <w:divBdr>
            <w:top w:val="none" w:sz="0" w:space="0" w:color="auto"/>
            <w:left w:val="none" w:sz="0" w:space="0" w:color="auto"/>
            <w:bottom w:val="none" w:sz="0" w:space="0" w:color="auto"/>
            <w:right w:val="none" w:sz="0" w:space="0" w:color="auto"/>
          </w:divBdr>
        </w:div>
        <w:div w:id="1868450735">
          <w:marLeft w:val="1800"/>
          <w:marRight w:val="0"/>
          <w:marTop w:val="96"/>
          <w:marBottom w:val="0"/>
          <w:divBdr>
            <w:top w:val="none" w:sz="0" w:space="0" w:color="auto"/>
            <w:left w:val="none" w:sz="0" w:space="0" w:color="auto"/>
            <w:bottom w:val="none" w:sz="0" w:space="0" w:color="auto"/>
            <w:right w:val="none" w:sz="0" w:space="0" w:color="auto"/>
          </w:divBdr>
        </w:div>
        <w:div w:id="570968463">
          <w:marLeft w:val="1800"/>
          <w:marRight w:val="0"/>
          <w:marTop w:val="96"/>
          <w:marBottom w:val="0"/>
          <w:divBdr>
            <w:top w:val="none" w:sz="0" w:space="0" w:color="auto"/>
            <w:left w:val="none" w:sz="0" w:space="0" w:color="auto"/>
            <w:bottom w:val="none" w:sz="0" w:space="0" w:color="auto"/>
            <w:right w:val="none" w:sz="0" w:space="0" w:color="auto"/>
          </w:divBdr>
        </w:div>
        <w:div w:id="318772551">
          <w:marLeft w:val="1800"/>
          <w:marRight w:val="0"/>
          <w:marTop w:val="96"/>
          <w:marBottom w:val="0"/>
          <w:divBdr>
            <w:top w:val="none" w:sz="0" w:space="0" w:color="auto"/>
            <w:left w:val="none" w:sz="0" w:space="0" w:color="auto"/>
            <w:bottom w:val="none" w:sz="0" w:space="0" w:color="auto"/>
            <w:right w:val="none" w:sz="0" w:space="0" w:color="auto"/>
          </w:divBdr>
        </w:div>
      </w:divsChild>
    </w:div>
    <w:div w:id="1445342563">
      <w:bodyDiv w:val="1"/>
      <w:marLeft w:val="0"/>
      <w:marRight w:val="0"/>
      <w:marTop w:val="0"/>
      <w:marBottom w:val="0"/>
      <w:divBdr>
        <w:top w:val="none" w:sz="0" w:space="0" w:color="auto"/>
        <w:left w:val="none" w:sz="0" w:space="0" w:color="auto"/>
        <w:bottom w:val="none" w:sz="0" w:space="0" w:color="auto"/>
        <w:right w:val="none" w:sz="0" w:space="0" w:color="auto"/>
      </w:divBdr>
    </w:div>
    <w:div w:id="1477990762">
      <w:bodyDiv w:val="1"/>
      <w:marLeft w:val="0"/>
      <w:marRight w:val="0"/>
      <w:marTop w:val="0"/>
      <w:marBottom w:val="0"/>
      <w:divBdr>
        <w:top w:val="none" w:sz="0" w:space="0" w:color="auto"/>
        <w:left w:val="none" w:sz="0" w:space="0" w:color="auto"/>
        <w:bottom w:val="none" w:sz="0" w:space="0" w:color="auto"/>
        <w:right w:val="none" w:sz="0" w:space="0" w:color="auto"/>
      </w:divBdr>
    </w:div>
    <w:div w:id="1480533925">
      <w:bodyDiv w:val="1"/>
      <w:marLeft w:val="0"/>
      <w:marRight w:val="0"/>
      <w:marTop w:val="0"/>
      <w:marBottom w:val="0"/>
      <w:divBdr>
        <w:top w:val="none" w:sz="0" w:space="0" w:color="auto"/>
        <w:left w:val="none" w:sz="0" w:space="0" w:color="auto"/>
        <w:bottom w:val="none" w:sz="0" w:space="0" w:color="auto"/>
        <w:right w:val="none" w:sz="0" w:space="0" w:color="auto"/>
      </w:divBdr>
    </w:div>
    <w:div w:id="1482575871">
      <w:bodyDiv w:val="1"/>
      <w:marLeft w:val="0"/>
      <w:marRight w:val="0"/>
      <w:marTop w:val="0"/>
      <w:marBottom w:val="0"/>
      <w:divBdr>
        <w:top w:val="none" w:sz="0" w:space="0" w:color="auto"/>
        <w:left w:val="none" w:sz="0" w:space="0" w:color="auto"/>
        <w:bottom w:val="none" w:sz="0" w:space="0" w:color="auto"/>
        <w:right w:val="none" w:sz="0" w:space="0" w:color="auto"/>
      </w:divBdr>
    </w:div>
    <w:div w:id="1491561415">
      <w:bodyDiv w:val="1"/>
      <w:marLeft w:val="0"/>
      <w:marRight w:val="0"/>
      <w:marTop w:val="0"/>
      <w:marBottom w:val="0"/>
      <w:divBdr>
        <w:top w:val="none" w:sz="0" w:space="0" w:color="auto"/>
        <w:left w:val="none" w:sz="0" w:space="0" w:color="auto"/>
        <w:bottom w:val="none" w:sz="0" w:space="0" w:color="auto"/>
        <w:right w:val="none" w:sz="0" w:space="0" w:color="auto"/>
      </w:divBdr>
    </w:div>
    <w:div w:id="1507208818">
      <w:bodyDiv w:val="1"/>
      <w:marLeft w:val="0"/>
      <w:marRight w:val="0"/>
      <w:marTop w:val="0"/>
      <w:marBottom w:val="0"/>
      <w:divBdr>
        <w:top w:val="none" w:sz="0" w:space="0" w:color="auto"/>
        <w:left w:val="none" w:sz="0" w:space="0" w:color="auto"/>
        <w:bottom w:val="none" w:sz="0" w:space="0" w:color="auto"/>
        <w:right w:val="none" w:sz="0" w:space="0" w:color="auto"/>
      </w:divBdr>
    </w:div>
    <w:div w:id="1542474253">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
    <w:div w:id="1567374509">
      <w:bodyDiv w:val="1"/>
      <w:marLeft w:val="0"/>
      <w:marRight w:val="0"/>
      <w:marTop w:val="0"/>
      <w:marBottom w:val="0"/>
      <w:divBdr>
        <w:top w:val="none" w:sz="0" w:space="0" w:color="auto"/>
        <w:left w:val="none" w:sz="0" w:space="0" w:color="auto"/>
        <w:bottom w:val="none" w:sz="0" w:space="0" w:color="auto"/>
        <w:right w:val="none" w:sz="0" w:space="0" w:color="auto"/>
      </w:divBdr>
    </w:div>
    <w:div w:id="1570920756">
      <w:bodyDiv w:val="1"/>
      <w:marLeft w:val="0"/>
      <w:marRight w:val="0"/>
      <w:marTop w:val="0"/>
      <w:marBottom w:val="0"/>
      <w:divBdr>
        <w:top w:val="none" w:sz="0" w:space="0" w:color="auto"/>
        <w:left w:val="none" w:sz="0" w:space="0" w:color="auto"/>
        <w:bottom w:val="none" w:sz="0" w:space="0" w:color="auto"/>
        <w:right w:val="none" w:sz="0" w:space="0" w:color="auto"/>
      </w:divBdr>
    </w:div>
    <w:div w:id="1619027625">
      <w:bodyDiv w:val="1"/>
      <w:marLeft w:val="0"/>
      <w:marRight w:val="0"/>
      <w:marTop w:val="0"/>
      <w:marBottom w:val="0"/>
      <w:divBdr>
        <w:top w:val="none" w:sz="0" w:space="0" w:color="auto"/>
        <w:left w:val="none" w:sz="0" w:space="0" w:color="auto"/>
        <w:bottom w:val="none" w:sz="0" w:space="0" w:color="auto"/>
        <w:right w:val="none" w:sz="0" w:space="0" w:color="auto"/>
      </w:divBdr>
      <w:divsChild>
        <w:div w:id="2101026495">
          <w:marLeft w:val="274"/>
          <w:marRight w:val="0"/>
          <w:marTop w:val="0"/>
          <w:marBottom w:val="0"/>
          <w:divBdr>
            <w:top w:val="none" w:sz="0" w:space="0" w:color="auto"/>
            <w:left w:val="none" w:sz="0" w:space="0" w:color="auto"/>
            <w:bottom w:val="none" w:sz="0" w:space="0" w:color="auto"/>
            <w:right w:val="none" w:sz="0" w:space="0" w:color="auto"/>
          </w:divBdr>
        </w:div>
        <w:div w:id="1569607655">
          <w:marLeft w:val="994"/>
          <w:marRight w:val="0"/>
          <w:marTop w:val="0"/>
          <w:marBottom w:val="0"/>
          <w:divBdr>
            <w:top w:val="none" w:sz="0" w:space="0" w:color="auto"/>
            <w:left w:val="none" w:sz="0" w:space="0" w:color="auto"/>
            <w:bottom w:val="none" w:sz="0" w:space="0" w:color="auto"/>
            <w:right w:val="none" w:sz="0" w:space="0" w:color="auto"/>
          </w:divBdr>
        </w:div>
        <w:div w:id="220136513">
          <w:marLeft w:val="994"/>
          <w:marRight w:val="0"/>
          <w:marTop w:val="0"/>
          <w:marBottom w:val="0"/>
          <w:divBdr>
            <w:top w:val="none" w:sz="0" w:space="0" w:color="auto"/>
            <w:left w:val="none" w:sz="0" w:space="0" w:color="auto"/>
            <w:bottom w:val="none" w:sz="0" w:space="0" w:color="auto"/>
            <w:right w:val="none" w:sz="0" w:space="0" w:color="auto"/>
          </w:divBdr>
        </w:div>
        <w:div w:id="2123913039">
          <w:marLeft w:val="274"/>
          <w:marRight w:val="0"/>
          <w:marTop w:val="0"/>
          <w:marBottom w:val="0"/>
          <w:divBdr>
            <w:top w:val="none" w:sz="0" w:space="0" w:color="auto"/>
            <w:left w:val="none" w:sz="0" w:space="0" w:color="auto"/>
            <w:bottom w:val="none" w:sz="0" w:space="0" w:color="auto"/>
            <w:right w:val="none" w:sz="0" w:space="0" w:color="auto"/>
          </w:divBdr>
        </w:div>
        <w:div w:id="1702434157">
          <w:marLeft w:val="994"/>
          <w:marRight w:val="0"/>
          <w:marTop w:val="0"/>
          <w:marBottom w:val="0"/>
          <w:divBdr>
            <w:top w:val="none" w:sz="0" w:space="0" w:color="auto"/>
            <w:left w:val="none" w:sz="0" w:space="0" w:color="auto"/>
            <w:bottom w:val="none" w:sz="0" w:space="0" w:color="auto"/>
            <w:right w:val="none" w:sz="0" w:space="0" w:color="auto"/>
          </w:divBdr>
        </w:div>
        <w:div w:id="1558711118">
          <w:marLeft w:val="994"/>
          <w:marRight w:val="0"/>
          <w:marTop w:val="0"/>
          <w:marBottom w:val="0"/>
          <w:divBdr>
            <w:top w:val="none" w:sz="0" w:space="0" w:color="auto"/>
            <w:left w:val="none" w:sz="0" w:space="0" w:color="auto"/>
            <w:bottom w:val="none" w:sz="0" w:space="0" w:color="auto"/>
            <w:right w:val="none" w:sz="0" w:space="0" w:color="auto"/>
          </w:divBdr>
        </w:div>
        <w:div w:id="1607956604">
          <w:marLeft w:val="994"/>
          <w:marRight w:val="0"/>
          <w:marTop w:val="0"/>
          <w:marBottom w:val="0"/>
          <w:divBdr>
            <w:top w:val="none" w:sz="0" w:space="0" w:color="auto"/>
            <w:left w:val="none" w:sz="0" w:space="0" w:color="auto"/>
            <w:bottom w:val="none" w:sz="0" w:space="0" w:color="auto"/>
            <w:right w:val="none" w:sz="0" w:space="0" w:color="auto"/>
          </w:divBdr>
        </w:div>
      </w:divsChild>
    </w:div>
    <w:div w:id="1636794297">
      <w:bodyDiv w:val="1"/>
      <w:marLeft w:val="0"/>
      <w:marRight w:val="0"/>
      <w:marTop w:val="0"/>
      <w:marBottom w:val="0"/>
      <w:divBdr>
        <w:top w:val="none" w:sz="0" w:space="0" w:color="auto"/>
        <w:left w:val="none" w:sz="0" w:space="0" w:color="auto"/>
        <w:bottom w:val="none" w:sz="0" w:space="0" w:color="auto"/>
        <w:right w:val="none" w:sz="0" w:space="0" w:color="auto"/>
      </w:divBdr>
      <w:divsChild>
        <w:div w:id="1287587101">
          <w:marLeft w:val="288"/>
          <w:marRight w:val="0"/>
          <w:marTop w:val="86"/>
          <w:marBottom w:val="0"/>
          <w:divBdr>
            <w:top w:val="none" w:sz="0" w:space="0" w:color="auto"/>
            <w:left w:val="none" w:sz="0" w:space="0" w:color="auto"/>
            <w:bottom w:val="none" w:sz="0" w:space="0" w:color="auto"/>
            <w:right w:val="none" w:sz="0" w:space="0" w:color="auto"/>
          </w:divBdr>
        </w:div>
        <w:div w:id="1043095233">
          <w:marLeft w:val="979"/>
          <w:marRight w:val="0"/>
          <w:marTop w:val="77"/>
          <w:marBottom w:val="0"/>
          <w:divBdr>
            <w:top w:val="none" w:sz="0" w:space="0" w:color="auto"/>
            <w:left w:val="none" w:sz="0" w:space="0" w:color="auto"/>
            <w:bottom w:val="none" w:sz="0" w:space="0" w:color="auto"/>
            <w:right w:val="none" w:sz="0" w:space="0" w:color="auto"/>
          </w:divBdr>
        </w:div>
        <w:div w:id="1160002125">
          <w:marLeft w:val="979"/>
          <w:marRight w:val="0"/>
          <w:marTop w:val="77"/>
          <w:marBottom w:val="0"/>
          <w:divBdr>
            <w:top w:val="none" w:sz="0" w:space="0" w:color="auto"/>
            <w:left w:val="none" w:sz="0" w:space="0" w:color="auto"/>
            <w:bottom w:val="none" w:sz="0" w:space="0" w:color="auto"/>
            <w:right w:val="none" w:sz="0" w:space="0" w:color="auto"/>
          </w:divBdr>
        </w:div>
        <w:div w:id="907810777">
          <w:marLeft w:val="288"/>
          <w:marRight w:val="0"/>
          <w:marTop w:val="160"/>
          <w:marBottom w:val="0"/>
          <w:divBdr>
            <w:top w:val="none" w:sz="0" w:space="0" w:color="auto"/>
            <w:left w:val="none" w:sz="0" w:space="0" w:color="auto"/>
            <w:bottom w:val="none" w:sz="0" w:space="0" w:color="auto"/>
            <w:right w:val="none" w:sz="0" w:space="0" w:color="auto"/>
          </w:divBdr>
        </w:div>
        <w:div w:id="1812558808">
          <w:marLeft w:val="979"/>
          <w:marRight w:val="0"/>
          <w:marTop w:val="77"/>
          <w:marBottom w:val="0"/>
          <w:divBdr>
            <w:top w:val="none" w:sz="0" w:space="0" w:color="auto"/>
            <w:left w:val="none" w:sz="0" w:space="0" w:color="auto"/>
            <w:bottom w:val="none" w:sz="0" w:space="0" w:color="auto"/>
            <w:right w:val="none" w:sz="0" w:space="0" w:color="auto"/>
          </w:divBdr>
        </w:div>
        <w:div w:id="1055471375">
          <w:marLeft w:val="288"/>
          <w:marRight w:val="0"/>
          <w:marTop w:val="160"/>
          <w:marBottom w:val="0"/>
          <w:divBdr>
            <w:top w:val="none" w:sz="0" w:space="0" w:color="auto"/>
            <w:left w:val="none" w:sz="0" w:space="0" w:color="auto"/>
            <w:bottom w:val="none" w:sz="0" w:space="0" w:color="auto"/>
            <w:right w:val="none" w:sz="0" w:space="0" w:color="auto"/>
          </w:divBdr>
        </w:div>
        <w:div w:id="1609653488">
          <w:marLeft w:val="979"/>
          <w:marRight w:val="0"/>
          <w:marTop w:val="77"/>
          <w:marBottom w:val="0"/>
          <w:divBdr>
            <w:top w:val="none" w:sz="0" w:space="0" w:color="auto"/>
            <w:left w:val="none" w:sz="0" w:space="0" w:color="auto"/>
            <w:bottom w:val="none" w:sz="0" w:space="0" w:color="auto"/>
            <w:right w:val="none" w:sz="0" w:space="0" w:color="auto"/>
          </w:divBdr>
        </w:div>
        <w:div w:id="68621026">
          <w:marLeft w:val="979"/>
          <w:marRight w:val="0"/>
          <w:marTop w:val="77"/>
          <w:marBottom w:val="0"/>
          <w:divBdr>
            <w:top w:val="none" w:sz="0" w:space="0" w:color="auto"/>
            <w:left w:val="none" w:sz="0" w:space="0" w:color="auto"/>
            <w:bottom w:val="none" w:sz="0" w:space="0" w:color="auto"/>
            <w:right w:val="none" w:sz="0" w:space="0" w:color="auto"/>
          </w:divBdr>
        </w:div>
        <w:div w:id="1981884480">
          <w:marLeft w:val="288"/>
          <w:marRight w:val="0"/>
          <w:marTop w:val="160"/>
          <w:marBottom w:val="0"/>
          <w:divBdr>
            <w:top w:val="none" w:sz="0" w:space="0" w:color="auto"/>
            <w:left w:val="none" w:sz="0" w:space="0" w:color="auto"/>
            <w:bottom w:val="none" w:sz="0" w:space="0" w:color="auto"/>
            <w:right w:val="none" w:sz="0" w:space="0" w:color="auto"/>
          </w:divBdr>
        </w:div>
        <w:div w:id="625695490">
          <w:marLeft w:val="979"/>
          <w:marRight w:val="0"/>
          <w:marTop w:val="77"/>
          <w:marBottom w:val="0"/>
          <w:divBdr>
            <w:top w:val="none" w:sz="0" w:space="0" w:color="auto"/>
            <w:left w:val="none" w:sz="0" w:space="0" w:color="auto"/>
            <w:bottom w:val="none" w:sz="0" w:space="0" w:color="auto"/>
            <w:right w:val="none" w:sz="0" w:space="0" w:color="auto"/>
          </w:divBdr>
        </w:div>
        <w:div w:id="1972666038">
          <w:marLeft w:val="288"/>
          <w:marRight w:val="0"/>
          <w:marTop w:val="160"/>
          <w:marBottom w:val="0"/>
          <w:divBdr>
            <w:top w:val="none" w:sz="0" w:space="0" w:color="auto"/>
            <w:left w:val="none" w:sz="0" w:space="0" w:color="auto"/>
            <w:bottom w:val="none" w:sz="0" w:space="0" w:color="auto"/>
            <w:right w:val="none" w:sz="0" w:space="0" w:color="auto"/>
          </w:divBdr>
        </w:div>
        <w:div w:id="1052000235">
          <w:marLeft w:val="979"/>
          <w:marRight w:val="0"/>
          <w:marTop w:val="77"/>
          <w:marBottom w:val="0"/>
          <w:divBdr>
            <w:top w:val="none" w:sz="0" w:space="0" w:color="auto"/>
            <w:left w:val="none" w:sz="0" w:space="0" w:color="auto"/>
            <w:bottom w:val="none" w:sz="0" w:space="0" w:color="auto"/>
            <w:right w:val="none" w:sz="0" w:space="0" w:color="auto"/>
          </w:divBdr>
        </w:div>
        <w:div w:id="770903623">
          <w:marLeft w:val="288"/>
          <w:marRight w:val="0"/>
          <w:marTop w:val="160"/>
          <w:marBottom w:val="0"/>
          <w:divBdr>
            <w:top w:val="none" w:sz="0" w:space="0" w:color="auto"/>
            <w:left w:val="none" w:sz="0" w:space="0" w:color="auto"/>
            <w:bottom w:val="none" w:sz="0" w:space="0" w:color="auto"/>
            <w:right w:val="none" w:sz="0" w:space="0" w:color="auto"/>
          </w:divBdr>
        </w:div>
        <w:div w:id="1043484843">
          <w:marLeft w:val="979"/>
          <w:marRight w:val="0"/>
          <w:marTop w:val="77"/>
          <w:marBottom w:val="0"/>
          <w:divBdr>
            <w:top w:val="none" w:sz="0" w:space="0" w:color="auto"/>
            <w:left w:val="none" w:sz="0" w:space="0" w:color="auto"/>
            <w:bottom w:val="none" w:sz="0" w:space="0" w:color="auto"/>
            <w:right w:val="none" w:sz="0" w:space="0" w:color="auto"/>
          </w:divBdr>
        </w:div>
      </w:divsChild>
    </w:div>
    <w:div w:id="1694725118">
      <w:bodyDiv w:val="1"/>
      <w:marLeft w:val="0"/>
      <w:marRight w:val="0"/>
      <w:marTop w:val="0"/>
      <w:marBottom w:val="0"/>
      <w:divBdr>
        <w:top w:val="none" w:sz="0" w:space="0" w:color="auto"/>
        <w:left w:val="none" w:sz="0" w:space="0" w:color="auto"/>
        <w:bottom w:val="none" w:sz="0" w:space="0" w:color="auto"/>
        <w:right w:val="none" w:sz="0" w:space="0" w:color="auto"/>
      </w:divBdr>
    </w:div>
    <w:div w:id="1699963695">
      <w:bodyDiv w:val="1"/>
      <w:marLeft w:val="0"/>
      <w:marRight w:val="0"/>
      <w:marTop w:val="0"/>
      <w:marBottom w:val="0"/>
      <w:divBdr>
        <w:top w:val="none" w:sz="0" w:space="0" w:color="auto"/>
        <w:left w:val="none" w:sz="0" w:space="0" w:color="auto"/>
        <w:bottom w:val="none" w:sz="0" w:space="0" w:color="auto"/>
        <w:right w:val="none" w:sz="0" w:space="0" w:color="auto"/>
      </w:divBdr>
      <w:divsChild>
        <w:div w:id="242034846">
          <w:marLeft w:val="994"/>
          <w:marRight w:val="0"/>
          <w:marTop w:val="0"/>
          <w:marBottom w:val="0"/>
          <w:divBdr>
            <w:top w:val="none" w:sz="0" w:space="0" w:color="auto"/>
            <w:left w:val="none" w:sz="0" w:space="0" w:color="auto"/>
            <w:bottom w:val="none" w:sz="0" w:space="0" w:color="auto"/>
            <w:right w:val="none" w:sz="0" w:space="0" w:color="auto"/>
          </w:divBdr>
        </w:div>
        <w:div w:id="1271668211">
          <w:marLeft w:val="994"/>
          <w:marRight w:val="0"/>
          <w:marTop w:val="0"/>
          <w:marBottom w:val="0"/>
          <w:divBdr>
            <w:top w:val="none" w:sz="0" w:space="0" w:color="auto"/>
            <w:left w:val="none" w:sz="0" w:space="0" w:color="auto"/>
            <w:bottom w:val="none" w:sz="0" w:space="0" w:color="auto"/>
            <w:right w:val="none" w:sz="0" w:space="0" w:color="auto"/>
          </w:divBdr>
        </w:div>
        <w:div w:id="1869677074">
          <w:marLeft w:val="994"/>
          <w:marRight w:val="0"/>
          <w:marTop w:val="0"/>
          <w:marBottom w:val="0"/>
          <w:divBdr>
            <w:top w:val="none" w:sz="0" w:space="0" w:color="auto"/>
            <w:left w:val="none" w:sz="0" w:space="0" w:color="auto"/>
            <w:bottom w:val="none" w:sz="0" w:space="0" w:color="auto"/>
            <w:right w:val="none" w:sz="0" w:space="0" w:color="auto"/>
          </w:divBdr>
        </w:div>
        <w:div w:id="1661151554">
          <w:marLeft w:val="994"/>
          <w:marRight w:val="0"/>
          <w:marTop w:val="0"/>
          <w:marBottom w:val="0"/>
          <w:divBdr>
            <w:top w:val="none" w:sz="0" w:space="0" w:color="auto"/>
            <w:left w:val="none" w:sz="0" w:space="0" w:color="auto"/>
            <w:bottom w:val="none" w:sz="0" w:space="0" w:color="auto"/>
            <w:right w:val="none" w:sz="0" w:space="0" w:color="auto"/>
          </w:divBdr>
        </w:div>
        <w:div w:id="1191331878">
          <w:marLeft w:val="994"/>
          <w:marRight w:val="0"/>
          <w:marTop w:val="0"/>
          <w:marBottom w:val="0"/>
          <w:divBdr>
            <w:top w:val="none" w:sz="0" w:space="0" w:color="auto"/>
            <w:left w:val="none" w:sz="0" w:space="0" w:color="auto"/>
            <w:bottom w:val="none" w:sz="0" w:space="0" w:color="auto"/>
            <w:right w:val="none" w:sz="0" w:space="0" w:color="auto"/>
          </w:divBdr>
        </w:div>
      </w:divsChild>
    </w:div>
    <w:div w:id="1726752470">
      <w:bodyDiv w:val="1"/>
      <w:marLeft w:val="0"/>
      <w:marRight w:val="0"/>
      <w:marTop w:val="0"/>
      <w:marBottom w:val="0"/>
      <w:divBdr>
        <w:top w:val="none" w:sz="0" w:space="0" w:color="auto"/>
        <w:left w:val="none" w:sz="0" w:space="0" w:color="auto"/>
        <w:bottom w:val="none" w:sz="0" w:space="0" w:color="auto"/>
        <w:right w:val="none" w:sz="0" w:space="0" w:color="auto"/>
      </w:divBdr>
    </w:div>
    <w:div w:id="1744372459">
      <w:bodyDiv w:val="1"/>
      <w:marLeft w:val="0"/>
      <w:marRight w:val="0"/>
      <w:marTop w:val="0"/>
      <w:marBottom w:val="0"/>
      <w:divBdr>
        <w:top w:val="none" w:sz="0" w:space="0" w:color="auto"/>
        <w:left w:val="none" w:sz="0" w:space="0" w:color="auto"/>
        <w:bottom w:val="none" w:sz="0" w:space="0" w:color="auto"/>
        <w:right w:val="none" w:sz="0" w:space="0" w:color="auto"/>
      </w:divBdr>
    </w:div>
    <w:div w:id="1818299761">
      <w:bodyDiv w:val="1"/>
      <w:marLeft w:val="0"/>
      <w:marRight w:val="0"/>
      <w:marTop w:val="0"/>
      <w:marBottom w:val="0"/>
      <w:divBdr>
        <w:top w:val="none" w:sz="0" w:space="0" w:color="auto"/>
        <w:left w:val="none" w:sz="0" w:space="0" w:color="auto"/>
        <w:bottom w:val="none" w:sz="0" w:space="0" w:color="auto"/>
        <w:right w:val="none" w:sz="0" w:space="0" w:color="auto"/>
      </w:divBdr>
    </w:div>
    <w:div w:id="1831477455">
      <w:bodyDiv w:val="1"/>
      <w:marLeft w:val="0"/>
      <w:marRight w:val="0"/>
      <w:marTop w:val="0"/>
      <w:marBottom w:val="0"/>
      <w:divBdr>
        <w:top w:val="none" w:sz="0" w:space="0" w:color="auto"/>
        <w:left w:val="none" w:sz="0" w:space="0" w:color="auto"/>
        <w:bottom w:val="none" w:sz="0" w:space="0" w:color="auto"/>
        <w:right w:val="none" w:sz="0" w:space="0" w:color="auto"/>
      </w:divBdr>
    </w:div>
    <w:div w:id="1849755979">
      <w:bodyDiv w:val="1"/>
      <w:marLeft w:val="0"/>
      <w:marRight w:val="0"/>
      <w:marTop w:val="0"/>
      <w:marBottom w:val="0"/>
      <w:divBdr>
        <w:top w:val="none" w:sz="0" w:space="0" w:color="auto"/>
        <w:left w:val="none" w:sz="0" w:space="0" w:color="auto"/>
        <w:bottom w:val="none" w:sz="0" w:space="0" w:color="auto"/>
        <w:right w:val="none" w:sz="0" w:space="0" w:color="auto"/>
      </w:divBdr>
      <w:divsChild>
        <w:div w:id="1594971346">
          <w:marLeft w:val="547"/>
          <w:marRight w:val="0"/>
          <w:marTop w:val="86"/>
          <w:marBottom w:val="0"/>
          <w:divBdr>
            <w:top w:val="none" w:sz="0" w:space="0" w:color="auto"/>
            <w:left w:val="none" w:sz="0" w:space="0" w:color="auto"/>
            <w:bottom w:val="none" w:sz="0" w:space="0" w:color="auto"/>
            <w:right w:val="none" w:sz="0" w:space="0" w:color="auto"/>
          </w:divBdr>
        </w:div>
        <w:div w:id="51851450">
          <w:marLeft w:val="1166"/>
          <w:marRight w:val="0"/>
          <w:marTop w:val="67"/>
          <w:marBottom w:val="0"/>
          <w:divBdr>
            <w:top w:val="none" w:sz="0" w:space="0" w:color="auto"/>
            <w:left w:val="none" w:sz="0" w:space="0" w:color="auto"/>
            <w:bottom w:val="none" w:sz="0" w:space="0" w:color="auto"/>
            <w:right w:val="none" w:sz="0" w:space="0" w:color="auto"/>
          </w:divBdr>
        </w:div>
        <w:div w:id="1068113412">
          <w:marLeft w:val="1166"/>
          <w:marRight w:val="0"/>
          <w:marTop w:val="67"/>
          <w:marBottom w:val="0"/>
          <w:divBdr>
            <w:top w:val="none" w:sz="0" w:space="0" w:color="auto"/>
            <w:left w:val="none" w:sz="0" w:space="0" w:color="auto"/>
            <w:bottom w:val="none" w:sz="0" w:space="0" w:color="auto"/>
            <w:right w:val="none" w:sz="0" w:space="0" w:color="auto"/>
          </w:divBdr>
        </w:div>
        <w:div w:id="270091679">
          <w:marLeft w:val="547"/>
          <w:marRight w:val="0"/>
          <w:marTop w:val="86"/>
          <w:marBottom w:val="0"/>
          <w:divBdr>
            <w:top w:val="none" w:sz="0" w:space="0" w:color="auto"/>
            <w:left w:val="none" w:sz="0" w:space="0" w:color="auto"/>
            <w:bottom w:val="none" w:sz="0" w:space="0" w:color="auto"/>
            <w:right w:val="none" w:sz="0" w:space="0" w:color="auto"/>
          </w:divBdr>
        </w:div>
        <w:div w:id="1507675365">
          <w:marLeft w:val="1166"/>
          <w:marRight w:val="0"/>
          <w:marTop w:val="67"/>
          <w:marBottom w:val="0"/>
          <w:divBdr>
            <w:top w:val="none" w:sz="0" w:space="0" w:color="auto"/>
            <w:left w:val="none" w:sz="0" w:space="0" w:color="auto"/>
            <w:bottom w:val="none" w:sz="0" w:space="0" w:color="auto"/>
            <w:right w:val="none" w:sz="0" w:space="0" w:color="auto"/>
          </w:divBdr>
        </w:div>
        <w:div w:id="1472138476">
          <w:marLeft w:val="1800"/>
          <w:marRight w:val="0"/>
          <w:marTop w:val="67"/>
          <w:marBottom w:val="0"/>
          <w:divBdr>
            <w:top w:val="none" w:sz="0" w:space="0" w:color="auto"/>
            <w:left w:val="none" w:sz="0" w:space="0" w:color="auto"/>
            <w:bottom w:val="none" w:sz="0" w:space="0" w:color="auto"/>
            <w:right w:val="none" w:sz="0" w:space="0" w:color="auto"/>
          </w:divBdr>
        </w:div>
        <w:div w:id="1521122011">
          <w:marLeft w:val="1800"/>
          <w:marRight w:val="0"/>
          <w:marTop w:val="67"/>
          <w:marBottom w:val="0"/>
          <w:divBdr>
            <w:top w:val="none" w:sz="0" w:space="0" w:color="auto"/>
            <w:left w:val="none" w:sz="0" w:space="0" w:color="auto"/>
            <w:bottom w:val="none" w:sz="0" w:space="0" w:color="auto"/>
            <w:right w:val="none" w:sz="0" w:space="0" w:color="auto"/>
          </w:divBdr>
        </w:div>
        <w:div w:id="1189373675">
          <w:marLeft w:val="1800"/>
          <w:marRight w:val="0"/>
          <w:marTop w:val="67"/>
          <w:marBottom w:val="0"/>
          <w:divBdr>
            <w:top w:val="none" w:sz="0" w:space="0" w:color="auto"/>
            <w:left w:val="none" w:sz="0" w:space="0" w:color="auto"/>
            <w:bottom w:val="none" w:sz="0" w:space="0" w:color="auto"/>
            <w:right w:val="none" w:sz="0" w:space="0" w:color="auto"/>
          </w:divBdr>
        </w:div>
        <w:div w:id="1876767082">
          <w:marLeft w:val="1800"/>
          <w:marRight w:val="0"/>
          <w:marTop w:val="67"/>
          <w:marBottom w:val="0"/>
          <w:divBdr>
            <w:top w:val="none" w:sz="0" w:space="0" w:color="auto"/>
            <w:left w:val="none" w:sz="0" w:space="0" w:color="auto"/>
            <w:bottom w:val="none" w:sz="0" w:space="0" w:color="auto"/>
            <w:right w:val="none" w:sz="0" w:space="0" w:color="auto"/>
          </w:divBdr>
        </w:div>
        <w:div w:id="134763150">
          <w:marLeft w:val="1800"/>
          <w:marRight w:val="0"/>
          <w:marTop w:val="67"/>
          <w:marBottom w:val="0"/>
          <w:divBdr>
            <w:top w:val="none" w:sz="0" w:space="0" w:color="auto"/>
            <w:left w:val="none" w:sz="0" w:space="0" w:color="auto"/>
            <w:bottom w:val="none" w:sz="0" w:space="0" w:color="auto"/>
            <w:right w:val="none" w:sz="0" w:space="0" w:color="auto"/>
          </w:divBdr>
        </w:div>
        <w:div w:id="1059398284">
          <w:marLeft w:val="1166"/>
          <w:marRight w:val="0"/>
          <w:marTop w:val="67"/>
          <w:marBottom w:val="0"/>
          <w:divBdr>
            <w:top w:val="none" w:sz="0" w:space="0" w:color="auto"/>
            <w:left w:val="none" w:sz="0" w:space="0" w:color="auto"/>
            <w:bottom w:val="none" w:sz="0" w:space="0" w:color="auto"/>
            <w:right w:val="none" w:sz="0" w:space="0" w:color="auto"/>
          </w:divBdr>
        </w:div>
      </w:divsChild>
    </w:div>
    <w:div w:id="1886211968">
      <w:bodyDiv w:val="1"/>
      <w:marLeft w:val="0"/>
      <w:marRight w:val="0"/>
      <w:marTop w:val="0"/>
      <w:marBottom w:val="0"/>
      <w:divBdr>
        <w:top w:val="none" w:sz="0" w:space="0" w:color="auto"/>
        <w:left w:val="none" w:sz="0" w:space="0" w:color="auto"/>
        <w:bottom w:val="none" w:sz="0" w:space="0" w:color="auto"/>
        <w:right w:val="none" w:sz="0" w:space="0" w:color="auto"/>
      </w:divBdr>
    </w:div>
    <w:div w:id="1904945702">
      <w:bodyDiv w:val="1"/>
      <w:marLeft w:val="0"/>
      <w:marRight w:val="0"/>
      <w:marTop w:val="0"/>
      <w:marBottom w:val="0"/>
      <w:divBdr>
        <w:top w:val="none" w:sz="0" w:space="0" w:color="auto"/>
        <w:left w:val="none" w:sz="0" w:space="0" w:color="auto"/>
        <w:bottom w:val="none" w:sz="0" w:space="0" w:color="auto"/>
        <w:right w:val="none" w:sz="0" w:space="0" w:color="auto"/>
      </w:divBdr>
    </w:div>
    <w:div w:id="1908689147">
      <w:bodyDiv w:val="1"/>
      <w:marLeft w:val="0"/>
      <w:marRight w:val="0"/>
      <w:marTop w:val="0"/>
      <w:marBottom w:val="0"/>
      <w:divBdr>
        <w:top w:val="none" w:sz="0" w:space="0" w:color="auto"/>
        <w:left w:val="none" w:sz="0" w:space="0" w:color="auto"/>
        <w:bottom w:val="none" w:sz="0" w:space="0" w:color="auto"/>
        <w:right w:val="none" w:sz="0" w:space="0" w:color="auto"/>
      </w:divBdr>
    </w:div>
    <w:div w:id="1928153418">
      <w:bodyDiv w:val="1"/>
      <w:marLeft w:val="0"/>
      <w:marRight w:val="0"/>
      <w:marTop w:val="0"/>
      <w:marBottom w:val="0"/>
      <w:divBdr>
        <w:top w:val="none" w:sz="0" w:space="0" w:color="auto"/>
        <w:left w:val="none" w:sz="0" w:space="0" w:color="auto"/>
        <w:bottom w:val="none" w:sz="0" w:space="0" w:color="auto"/>
        <w:right w:val="none" w:sz="0" w:space="0" w:color="auto"/>
      </w:divBdr>
    </w:div>
    <w:div w:id="1928951884">
      <w:bodyDiv w:val="1"/>
      <w:marLeft w:val="0"/>
      <w:marRight w:val="0"/>
      <w:marTop w:val="0"/>
      <w:marBottom w:val="0"/>
      <w:divBdr>
        <w:top w:val="none" w:sz="0" w:space="0" w:color="auto"/>
        <w:left w:val="none" w:sz="0" w:space="0" w:color="auto"/>
        <w:bottom w:val="none" w:sz="0" w:space="0" w:color="auto"/>
        <w:right w:val="none" w:sz="0" w:space="0" w:color="auto"/>
      </w:divBdr>
      <w:divsChild>
        <w:div w:id="1862696442">
          <w:marLeft w:val="288"/>
          <w:marRight w:val="0"/>
          <w:marTop w:val="86"/>
          <w:marBottom w:val="0"/>
          <w:divBdr>
            <w:top w:val="none" w:sz="0" w:space="0" w:color="auto"/>
            <w:left w:val="none" w:sz="0" w:space="0" w:color="auto"/>
            <w:bottom w:val="none" w:sz="0" w:space="0" w:color="auto"/>
            <w:right w:val="none" w:sz="0" w:space="0" w:color="auto"/>
          </w:divBdr>
        </w:div>
        <w:div w:id="490683015">
          <w:marLeft w:val="979"/>
          <w:marRight w:val="0"/>
          <w:marTop w:val="77"/>
          <w:marBottom w:val="0"/>
          <w:divBdr>
            <w:top w:val="none" w:sz="0" w:space="0" w:color="auto"/>
            <w:left w:val="none" w:sz="0" w:space="0" w:color="auto"/>
            <w:bottom w:val="none" w:sz="0" w:space="0" w:color="auto"/>
            <w:right w:val="none" w:sz="0" w:space="0" w:color="auto"/>
          </w:divBdr>
        </w:div>
        <w:div w:id="1529636388">
          <w:marLeft w:val="979"/>
          <w:marRight w:val="0"/>
          <w:marTop w:val="77"/>
          <w:marBottom w:val="0"/>
          <w:divBdr>
            <w:top w:val="none" w:sz="0" w:space="0" w:color="auto"/>
            <w:left w:val="none" w:sz="0" w:space="0" w:color="auto"/>
            <w:bottom w:val="none" w:sz="0" w:space="0" w:color="auto"/>
            <w:right w:val="none" w:sz="0" w:space="0" w:color="auto"/>
          </w:divBdr>
        </w:div>
        <w:div w:id="369573342">
          <w:marLeft w:val="288"/>
          <w:marRight w:val="0"/>
          <w:marTop w:val="160"/>
          <w:marBottom w:val="0"/>
          <w:divBdr>
            <w:top w:val="none" w:sz="0" w:space="0" w:color="auto"/>
            <w:left w:val="none" w:sz="0" w:space="0" w:color="auto"/>
            <w:bottom w:val="none" w:sz="0" w:space="0" w:color="auto"/>
            <w:right w:val="none" w:sz="0" w:space="0" w:color="auto"/>
          </w:divBdr>
        </w:div>
        <w:div w:id="102967816">
          <w:marLeft w:val="979"/>
          <w:marRight w:val="0"/>
          <w:marTop w:val="77"/>
          <w:marBottom w:val="0"/>
          <w:divBdr>
            <w:top w:val="none" w:sz="0" w:space="0" w:color="auto"/>
            <w:left w:val="none" w:sz="0" w:space="0" w:color="auto"/>
            <w:bottom w:val="none" w:sz="0" w:space="0" w:color="auto"/>
            <w:right w:val="none" w:sz="0" w:space="0" w:color="auto"/>
          </w:divBdr>
        </w:div>
        <w:div w:id="2060665022">
          <w:marLeft w:val="288"/>
          <w:marRight w:val="0"/>
          <w:marTop w:val="160"/>
          <w:marBottom w:val="0"/>
          <w:divBdr>
            <w:top w:val="none" w:sz="0" w:space="0" w:color="auto"/>
            <w:left w:val="none" w:sz="0" w:space="0" w:color="auto"/>
            <w:bottom w:val="none" w:sz="0" w:space="0" w:color="auto"/>
            <w:right w:val="none" w:sz="0" w:space="0" w:color="auto"/>
          </w:divBdr>
        </w:div>
        <w:div w:id="1240754786">
          <w:marLeft w:val="979"/>
          <w:marRight w:val="0"/>
          <w:marTop w:val="77"/>
          <w:marBottom w:val="0"/>
          <w:divBdr>
            <w:top w:val="none" w:sz="0" w:space="0" w:color="auto"/>
            <w:left w:val="none" w:sz="0" w:space="0" w:color="auto"/>
            <w:bottom w:val="none" w:sz="0" w:space="0" w:color="auto"/>
            <w:right w:val="none" w:sz="0" w:space="0" w:color="auto"/>
          </w:divBdr>
        </w:div>
        <w:div w:id="1653487420">
          <w:marLeft w:val="979"/>
          <w:marRight w:val="0"/>
          <w:marTop w:val="77"/>
          <w:marBottom w:val="0"/>
          <w:divBdr>
            <w:top w:val="none" w:sz="0" w:space="0" w:color="auto"/>
            <w:left w:val="none" w:sz="0" w:space="0" w:color="auto"/>
            <w:bottom w:val="none" w:sz="0" w:space="0" w:color="auto"/>
            <w:right w:val="none" w:sz="0" w:space="0" w:color="auto"/>
          </w:divBdr>
        </w:div>
        <w:div w:id="56784800">
          <w:marLeft w:val="288"/>
          <w:marRight w:val="0"/>
          <w:marTop w:val="160"/>
          <w:marBottom w:val="0"/>
          <w:divBdr>
            <w:top w:val="none" w:sz="0" w:space="0" w:color="auto"/>
            <w:left w:val="none" w:sz="0" w:space="0" w:color="auto"/>
            <w:bottom w:val="none" w:sz="0" w:space="0" w:color="auto"/>
            <w:right w:val="none" w:sz="0" w:space="0" w:color="auto"/>
          </w:divBdr>
        </w:div>
        <w:div w:id="1792047893">
          <w:marLeft w:val="979"/>
          <w:marRight w:val="0"/>
          <w:marTop w:val="77"/>
          <w:marBottom w:val="0"/>
          <w:divBdr>
            <w:top w:val="none" w:sz="0" w:space="0" w:color="auto"/>
            <w:left w:val="none" w:sz="0" w:space="0" w:color="auto"/>
            <w:bottom w:val="none" w:sz="0" w:space="0" w:color="auto"/>
            <w:right w:val="none" w:sz="0" w:space="0" w:color="auto"/>
          </w:divBdr>
        </w:div>
        <w:div w:id="67575547">
          <w:marLeft w:val="288"/>
          <w:marRight w:val="0"/>
          <w:marTop w:val="160"/>
          <w:marBottom w:val="0"/>
          <w:divBdr>
            <w:top w:val="none" w:sz="0" w:space="0" w:color="auto"/>
            <w:left w:val="none" w:sz="0" w:space="0" w:color="auto"/>
            <w:bottom w:val="none" w:sz="0" w:space="0" w:color="auto"/>
            <w:right w:val="none" w:sz="0" w:space="0" w:color="auto"/>
          </w:divBdr>
        </w:div>
        <w:div w:id="186255989">
          <w:marLeft w:val="979"/>
          <w:marRight w:val="0"/>
          <w:marTop w:val="77"/>
          <w:marBottom w:val="0"/>
          <w:divBdr>
            <w:top w:val="none" w:sz="0" w:space="0" w:color="auto"/>
            <w:left w:val="none" w:sz="0" w:space="0" w:color="auto"/>
            <w:bottom w:val="none" w:sz="0" w:space="0" w:color="auto"/>
            <w:right w:val="none" w:sz="0" w:space="0" w:color="auto"/>
          </w:divBdr>
        </w:div>
        <w:div w:id="1115321526">
          <w:marLeft w:val="288"/>
          <w:marRight w:val="0"/>
          <w:marTop w:val="160"/>
          <w:marBottom w:val="0"/>
          <w:divBdr>
            <w:top w:val="none" w:sz="0" w:space="0" w:color="auto"/>
            <w:left w:val="none" w:sz="0" w:space="0" w:color="auto"/>
            <w:bottom w:val="none" w:sz="0" w:space="0" w:color="auto"/>
            <w:right w:val="none" w:sz="0" w:space="0" w:color="auto"/>
          </w:divBdr>
        </w:div>
        <w:div w:id="261770008">
          <w:marLeft w:val="979"/>
          <w:marRight w:val="0"/>
          <w:marTop w:val="77"/>
          <w:marBottom w:val="0"/>
          <w:divBdr>
            <w:top w:val="none" w:sz="0" w:space="0" w:color="auto"/>
            <w:left w:val="none" w:sz="0" w:space="0" w:color="auto"/>
            <w:bottom w:val="none" w:sz="0" w:space="0" w:color="auto"/>
            <w:right w:val="none" w:sz="0" w:space="0" w:color="auto"/>
          </w:divBdr>
        </w:div>
      </w:divsChild>
    </w:div>
    <w:div w:id="1991710190">
      <w:bodyDiv w:val="1"/>
      <w:marLeft w:val="0"/>
      <w:marRight w:val="0"/>
      <w:marTop w:val="0"/>
      <w:marBottom w:val="0"/>
      <w:divBdr>
        <w:top w:val="none" w:sz="0" w:space="0" w:color="auto"/>
        <w:left w:val="none" w:sz="0" w:space="0" w:color="auto"/>
        <w:bottom w:val="none" w:sz="0" w:space="0" w:color="auto"/>
        <w:right w:val="none" w:sz="0" w:space="0" w:color="auto"/>
      </w:divBdr>
    </w:div>
    <w:div w:id="2048679904">
      <w:bodyDiv w:val="1"/>
      <w:marLeft w:val="0"/>
      <w:marRight w:val="0"/>
      <w:marTop w:val="0"/>
      <w:marBottom w:val="0"/>
      <w:divBdr>
        <w:top w:val="none" w:sz="0" w:space="0" w:color="auto"/>
        <w:left w:val="none" w:sz="0" w:space="0" w:color="auto"/>
        <w:bottom w:val="none" w:sz="0" w:space="0" w:color="auto"/>
        <w:right w:val="none" w:sz="0" w:space="0" w:color="auto"/>
      </w:divBdr>
    </w:div>
    <w:div w:id="2052536114">
      <w:bodyDiv w:val="1"/>
      <w:marLeft w:val="0"/>
      <w:marRight w:val="0"/>
      <w:marTop w:val="0"/>
      <w:marBottom w:val="0"/>
      <w:divBdr>
        <w:top w:val="none" w:sz="0" w:space="0" w:color="auto"/>
        <w:left w:val="none" w:sz="0" w:space="0" w:color="auto"/>
        <w:bottom w:val="none" w:sz="0" w:space="0" w:color="auto"/>
        <w:right w:val="none" w:sz="0" w:space="0" w:color="auto"/>
      </w:divBdr>
    </w:div>
    <w:div w:id="2058698123">
      <w:bodyDiv w:val="1"/>
      <w:marLeft w:val="0"/>
      <w:marRight w:val="0"/>
      <w:marTop w:val="0"/>
      <w:marBottom w:val="0"/>
      <w:divBdr>
        <w:top w:val="none" w:sz="0" w:space="0" w:color="auto"/>
        <w:left w:val="none" w:sz="0" w:space="0" w:color="auto"/>
        <w:bottom w:val="none" w:sz="0" w:space="0" w:color="auto"/>
        <w:right w:val="none" w:sz="0" w:space="0" w:color="auto"/>
      </w:divBdr>
    </w:div>
    <w:div w:id="2068726701">
      <w:bodyDiv w:val="1"/>
      <w:marLeft w:val="0"/>
      <w:marRight w:val="0"/>
      <w:marTop w:val="0"/>
      <w:marBottom w:val="0"/>
      <w:divBdr>
        <w:top w:val="none" w:sz="0" w:space="0" w:color="auto"/>
        <w:left w:val="none" w:sz="0" w:space="0" w:color="auto"/>
        <w:bottom w:val="none" w:sz="0" w:space="0" w:color="auto"/>
        <w:right w:val="none" w:sz="0" w:space="0" w:color="auto"/>
      </w:divBdr>
    </w:div>
    <w:div w:id="2082367740">
      <w:bodyDiv w:val="1"/>
      <w:marLeft w:val="0"/>
      <w:marRight w:val="0"/>
      <w:marTop w:val="0"/>
      <w:marBottom w:val="0"/>
      <w:divBdr>
        <w:top w:val="none" w:sz="0" w:space="0" w:color="auto"/>
        <w:left w:val="none" w:sz="0" w:space="0" w:color="auto"/>
        <w:bottom w:val="none" w:sz="0" w:space="0" w:color="auto"/>
        <w:right w:val="none" w:sz="0" w:space="0" w:color="auto"/>
      </w:divBdr>
    </w:div>
    <w:div w:id="2083748171">
      <w:bodyDiv w:val="1"/>
      <w:marLeft w:val="0"/>
      <w:marRight w:val="0"/>
      <w:marTop w:val="0"/>
      <w:marBottom w:val="0"/>
      <w:divBdr>
        <w:top w:val="none" w:sz="0" w:space="0" w:color="auto"/>
        <w:left w:val="none" w:sz="0" w:space="0" w:color="auto"/>
        <w:bottom w:val="none" w:sz="0" w:space="0" w:color="auto"/>
        <w:right w:val="none" w:sz="0" w:space="0" w:color="auto"/>
      </w:divBdr>
    </w:div>
    <w:div w:id="2120757399">
      <w:bodyDiv w:val="1"/>
      <w:marLeft w:val="0"/>
      <w:marRight w:val="0"/>
      <w:marTop w:val="0"/>
      <w:marBottom w:val="0"/>
      <w:divBdr>
        <w:top w:val="none" w:sz="0" w:space="0" w:color="auto"/>
        <w:left w:val="none" w:sz="0" w:space="0" w:color="auto"/>
        <w:bottom w:val="none" w:sz="0" w:space="0" w:color="auto"/>
        <w:right w:val="none" w:sz="0" w:space="0" w:color="auto"/>
      </w:divBdr>
    </w:div>
    <w:div w:id="2134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1377-2D36-44F6-9373-BB12DC5D6E25}">
  <ds:schemaRefs>
    <ds:schemaRef ds:uri="http://schemas.openxmlformats.org/officeDocument/2006/bibliography"/>
  </ds:schemaRefs>
</ds:datastoreItem>
</file>

<file path=customXml/itemProps2.xml><?xml version="1.0" encoding="utf-8"?>
<ds:datastoreItem xmlns:ds="http://schemas.openxmlformats.org/officeDocument/2006/customXml" ds:itemID="{F8F9D9D1-D148-4D56-9E8B-7A68D9A8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5526</Words>
  <Characters>32604</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Picková Veronika</dc:creator>
  <cp:lastModifiedBy>OSPZV3 ospzv3</cp:lastModifiedBy>
  <cp:revision>2</cp:revision>
  <cp:lastPrinted>2015-11-23T11:46:00Z</cp:lastPrinted>
  <dcterms:created xsi:type="dcterms:W3CDTF">2015-11-23T11:47:00Z</dcterms:created>
  <dcterms:modified xsi:type="dcterms:W3CDTF">2015-11-23T11:47:00Z</dcterms:modified>
</cp:coreProperties>
</file>